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3D9A0" w14:textId="20FCF675" w:rsidR="00387C7E" w:rsidRPr="00F25DA0" w:rsidRDefault="00387C7E" w:rsidP="00393014">
      <w:pPr>
        <w:pStyle w:val="StyleTitre1"/>
      </w:pPr>
      <w:bookmarkStart w:id="0" w:name="_Toc150262722"/>
      <w:bookmarkStart w:id="1" w:name="_Toc479676237"/>
      <w:r w:rsidRPr="00F25DA0">
        <w:t>Définitions</w:t>
      </w:r>
      <w:bookmarkEnd w:id="0"/>
    </w:p>
    <w:p w14:paraId="25609902" w14:textId="77777777" w:rsidR="00387C7E" w:rsidRDefault="00387C7E">
      <w:pPr>
        <w:rPr>
          <w:szCs w:val="16"/>
        </w:rPr>
      </w:pPr>
      <w:r>
        <w:rPr>
          <w:szCs w:val="16"/>
        </w:rPr>
        <w:t xml:space="preserve">En complément des définitions </w:t>
      </w:r>
      <w:r w:rsidR="00BB4062">
        <w:rPr>
          <w:szCs w:val="16"/>
        </w:rPr>
        <w:t xml:space="preserve">prévues dans les </w:t>
      </w:r>
      <w:r>
        <w:rPr>
          <w:szCs w:val="16"/>
        </w:rPr>
        <w:t>Con</w:t>
      </w:r>
      <w:r w:rsidR="00301912">
        <w:rPr>
          <w:szCs w:val="16"/>
        </w:rPr>
        <w:t>ditions Générales</w:t>
      </w:r>
      <w:r>
        <w:rPr>
          <w:szCs w:val="16"/>
        </w:rPr>
        <w:t xml:space="preserve">, les termes suivants, utilisés dans les présentes Conditions </w:t>
      </w:r>
      <w:r w:rsidR="000F64CF">
        <w:rPr>
          <w:szCs w:val="16"/>
        </w:rPr>
        <w:t>P</w:t>
      </w:r>
      <w:r>
        <w:rPr>
          <w:szCs w:val="16"/>
        </w:rPr>
        <w:t xml:space="preserve">articulières, auront la signification qui suit : </w:t>
      </w:r>
    </w:p>
    <w:p w14:paraId="05DA98F4" w14:textId="77777777" w:rsidR="00387C7E" w:rsidRPr="006B1ACA" w:rsidRDefault="00387C7E"/>
    <w:p w14:paraId="2E2A7719" w14:textId="472CB0BC" w:rsidR="00387C7E" w:rsidRDefault="00387C7E">
      <w:pPr>
        <w:rPr>
          <w:szCs w:val="16"/>
        </w:rPr>
      </w:pPr>
      <w:r>
        <w:rPr>
          <w:b/>
          <w:szCs w:val="16"/>
        </w:rPr>
        <w:t>« Abonné »,</w:t>
      </w:r>
      <w:r w:rsidR="008E5C03">
        <w:rPr>
          <w:b/>
          <w:szCs w:val="16"/>
        </w:rPr>
        <w:t xml:space="preserve"> « Client Final », </w:t>
      </w:r>
      <w:r>
        <w:rPr>
          <w:b/>
          <w:szCs w:val="16"/>
        </w:rPr>
        <w:t xml:space="preserve"> « Utilisateur »</w:t>
      </w:r>
      <w:r>
        <w:rPr>
          <w:szCs w:val="16"/>
        </w:rPr>
        <w:t xml:space="preserve"> ou </w:t>
      </w:r>
      <w:r>
        <w:rPr>
          <w:b/>
          <w:szCs w:val="16"/>
        </w:rPr>
        <w:t>« </w:t>
      </w:r>
      <w:r w:rsidR="00301912">
        <w:rPr>
          <w:b/>
          <w:szCs w:val="16"/>
        </w:rPr>
        <w:t xml:space="preserve">Utilisateur </w:t>
      </w:r>
      <w:r>
        <w:rPr>
          <w:b/>
          <w:szCs w:val="16"/>
        </w:rPr>
        <w:t>Final »</w:t>
      </w:r>
      <w:r>
        <w:rPr>
          <w:szCs w:val="16"/>
        </w:rPr>
        <w:t xml:space="preserve"> désigne la personne physique ou morale souscrivant le Service auprès </w:t>
      </w:r>
      <w:r w:rsidR="00427C35">
        <w:rPr>
          <w:szCs w:val="16"/>
        </w:rPr>
        <w:t>du Client</w:t>
      </w:r>
      <w:r w:rsidR="00964C2C">
        <w:rPr>
          <w:szCs w:val="16"/>
        </w:rPr>
        <w:t>.</w:t>
      </w:r>
    </w:p>
    <w:p w14:paraId="2E27C53D" w14:textId="77777777" w:rsidR="00387C7E" w:rsidRPr="006B1ACA" w:rsidRDefault="00387C7E"/>
    <w:p w14:paraId="46C66FC1" w14:textId="77777777" w:rsidR="002062D7" w:rsidRDefault="002062D7" w:rsidP="002062D7">
      <w:r w:rsidRPr="00D51D96">
        <w:rPr>
          <w:b/>
        </w:rPr>
        <w:t>« Affilié »</w:t>
      </w:r>
      <w:r w:rsidRPr="007B4667">
        <w:t xml:space="preserve"> </w:t>
      </w:r>
      <w:r w:rsidRPr="00906291">
        <w:t>désigne toute société qui, directement ou indirectement, (i) contrôle l'une des Parties, ou (ii) est contrôlée par l'une des Parties, ou (iii) est contrôlée par toute société visée au (i) ci-dessus. "Contrôler" une société signifie posséder, directement ou indirectement, plus de cinquante pour cent (50 %) des actions ou des parts sociales de ladite société ou détenir la majorité des droits de vote dans les conditions prévues par l'article L.233-3 du Code de commerce.</w:t>
      </w:r>
    </w:p>
    <w:p w14:paraId="45BA1A9A" w14:textId="77777777" w:rsidR="002062D7" w:rsidRPr="006B1ACA" w:rsidRDefault="002062D7"/>
    <w:p w14:paraId="150BA98B" w14:textId="7BAAE307" w:rsidR="00B765FB" w:rsidRPr="00A44FBE" w:rsidRDefault="00A16DC9">
      <w:r>
        <w:rPr>
          <w:b/>
        </w:rPr>
        <w:t>« Avis de mise à disposition du Service</w:t>
      </w:r>
      <w:r w:rsidRPr="00A67C26">
        <w:rPr>
          <w:b/>
        </w:rPr>
        <w:t> »</w:t>
      </w:r>
      <w:r>
        <w:t xml:space="preserve"> désigne toute notification de la mise à disposition du </w:t>
      </w:r>
      <w:r w:rsidR="00DD11B1">
        <w:t>S</w:t>
      </w:r>
      <w:r>
        <w:t>ervice par le Fournisseur au Client sous format papier ou électronique.</w:t>
      </w:r>
    </w:p>
    <w:p w14:paraId="5577620C" w14:textId="77777777" w:rsidR="00F03BFC" w:rsidRPr="006B1ACA" w:rsidRDefault="00F03BFC" w:rsidP="00F03BFC"/>
    <w:p w14:paraId="5FF93CD3" w14:textId="77777777" w:rsidR="00F03BFC" w:rsidRDefault="00F03BFC" w:rsidP="00F03BFC">
      <w:pPr>
        <w:rPr>
          <w:szCs w:val="16"/>
        </w:rPr>
      </w:pPr>
      <w:r w:rsidRPr="00F03BFC">
        <w:rPr>
          <w:b/>
          <w:bCs/>
          <w:szCs w:val="16"/>
        </w:rPr>
        <w:t>« Câblage FTTH »</w:t>
      </w:r>
      <w:r w:rsidRPr="00F03BFC">
        <w:rPr>
          <w:szCs w:val="16"/>
        </w:rPr>
        <w:t xml:space="preserve"> désigne l’ensemble des fibres, câbles, matériels et locaux techniques entre le PM et le PTO.</w:t>
      </w:r>
    </w:p>
    <w:p w14:paraId="39E87B1B" w14:textId="1C7E5DDC" w:rsidR="00A31539" w:rsidRPr="00F03BFC" w:rsidRDefault="00A31539" w:rsidP="004631F5">
      <w:pPr>
        <w:ind w:left="425"/>
        <w:rPr>
          <w:szCs w:val="16"/>
        </w:rPr>
      </w:pPr>
    </w:p>
    <w:p w14:paraId="779F5C04" w14:textId="77777777" w:rsidR="00657DD7" w:rsidRDefault="00657DD7">
      <w:pPr>
        <w:rPr>
          <w:szCs w:val="16"/>
        </w:rPr>
      </w:pPr>
    </w:p>
    <w:p w14:paraId="3ED307E1" w14:textId="77777777" w:rsidR="002A73B6" w:rsidRPr="002A73B6" w:rsidRDefault="002A73B6" w:rsidP="004631F5">
      <w:pPr>
        <w:pStyle w:val="Corpsdetexte"/>
        <w:kinsoku w:val="0"/>
        <w:overflowPunct w:val="0"/>
        <w:spacing w:line="250" w:lineRule="auto"/>
        <w:ind w:right="174"/>
        <w:jc w:val="both"/>
        <w:rPr>
          <w:rFonts w:ascii="Times New Roman" w:hAnsi="Times New Roman"/>
          <w:i w:val="0"/>
          <w:snapToGrid/>
          <w:sz w:val="16"/>
          <w:szCs w:val="16"/>
        </w:rPr>
      </w:pPr>
      <w:r w:rsidRPr="002A73B6">
        <w:rPr>
          <w:rFonts w:ascii="Times New Roman" w:hAnsi="Times New Roman"/>
          <w:i w:val="0"/>
          <w:snapToGrid/>
          <w:sz w:val="16"/>
          <w:szCs w:val="16"/>
        </w:rPr>
        <w:t xml:space="preserve">« </w:t>
      </w:r>
      <w:r w:rsidRPr="002A73B6">
        <w:rPr>
          <w:rFonts w:ascii="Times New Roman" w:hAnsi="Times New Roman"/>
          <w:b/>
          <w:i w:val="0"/>
          <w:snapToGrid/>
          <w:sz w:val="16"/>
          <w:szCs w:val="16"/>
        </w:rPr>
        <w:t>Client/Usager</w:t>
      </w:r>
      <w:r w:rsidRPr="002A73B6">
        <w:rPr>
          <w:rFonts w:ascii="Times New Roman" w:hAnsi="Times New Roman"/>
          <w:i w:val="0"/>
          <w:snapToGrid/>
          <w:sz w:val="16"/>
          <w:szCs w:val="16"/>
        </w:rPr>
        <w:t xml:space="preserve"> » désigne la personne physique ou morale signataire du Contrat, usager du présent service. Le Client dispose :</w:t>
      </w:r>
    </w:p>
    <w:p w14:paraId="40E21696" w14:textId="77777777" w:rsidR="002A73B6" w:rsidRPr="002A73B6" w:rsidRDefault="002A73B6" w:rsidP="002A73B6">
      <w:pPr>
        <w:pStyle w:val="Corpsdetexte"/>
        <w:widowControl w:val="0"/>
        <w:numPr>
          <w:ilvl w:val="0"/>
          <w:numId w:val="25"/>
        </w:numPr>
        <w:tabs>
          <w:tab w:val="left" w:pos="843"/>
        </w:tabs>
        <w:kinsoku w:val="0"/>
        <w:overflowPunct w:val="0"/>
        <w:autoSpaceDE w:val="0"/>
        <w:autoSpaceDN w:val="0"/>
        <w:adjustRightInd w:val="0"/>
        <w:spacing w:line="243" w:lineRule="auto"/>
        <w:ind w:left="844" w:right="174"/>
        <w:jc w:val="left"/>
        <w:rPr>
          <w:rFonts w:ascii="Times New Roman" w:hAnsi="Times New Roman"/>
          <w:i w:val="0"/>
          <w:snapToGrid/>
          <w:sz w:val="16"/>
          <w:szCs w:val="16"/>
        </w:rPr>
      </w:pPr>
      <w:r w:rsidRPr="002A73B6">
        <w:rPr>
          <w:rFonts w:ascii="Times New Roman" w:hAnsi="Times New Roman"/>
          <w:i w:val="0"/>
          <w:snapToGrid/>
          <w:sz w:val="16"/>
          <w:szCs w:val="16"/>
        </w:rPr>
        <w:t>Soit  de  la  qualité  d’opérateurs  de  communications  électroniques  au  sens  de  l’article  L  32.15  du  Code  des  postes  et communications électroniques) ;</w:t>
      </w:r>
    </w:p>
    <w:p w14:paraId="3C894CC9" w14:textId="77777777" w:rsidR="002A73B6" w:rsidRPr="002A73B6" w:rsidRDefault="002A73B6" w:rsidP="002A73B6">
      <w:pPr>
        <w:pStyle w:val="Corpsdetexte"/>
        <w:widowControl w:val="0"/>
        <w:numPr>
          <w:ilvl w:val="0"/>
          <w:numId w:val="25"/>
        </w:numPr>
        <w:tabs>
          <w:tab w:val="left" w:pos="843"/>
        </w:tabs>
        <w:kinsoku w:val="0"/>
        <w:overflowPunct w:val="0"/>
        <w:autoSpaceDE w:val="0"/>
        <w:autoSpaceDN w:val="0"/>
        <w:adjustRightInd w:val="0"/>
        <w:spacing w:before="5" w:line="250" w:lineRule="auto"/>
        <w:ind w:left="844" w:right="174"/>
        <w:jc w:val="left"/>
        <w:rPr>
          <w:rFonts w:ascii="Times New Roman" w:hAnsi="Times New Roman"/>
          <w:i w:val="0"/>
          <w:snapToGrid/>
          <w:sz w:val="16"/>
          <w:szCs w:val="16"/>
        </w:rPr>
      </w:pPr>
      <w:r w:rsidRPr="002A73B6">
        <w:rPr>
          <w:rFonts w:ascii="Times New Roman" w:hAnsi="Times New Roman"/>
          <w:i w:val="0"/>
          <w:snapToGrid/>
          <w:sz w:val="16"/>
          <w:szCs w:val="16"/>
        </w:rPr>
        <w:t>Soit de la qualité de Groupe Fermé d’Utilisateurs (GFU) au sens de l’article L32.4 du Code des postes et communications électroniques.</w:t>
      </w:r>
    </w:p>
    <w:p w14:paraId="02F2FCA5" w14:textId="77777777" w:rsidR="002A73B6" w:rsidRPr="00B046EB" w:rsidRDefault="002A73B6">
      <w:pPr>
        <w:rPr>
          <w:szCs w:val="16"/>
        </w:rPr>
      </w:pPr>
    </w:p>
    <w:p w14:paraId="360E2B07" w14:textId="1CB1B980" w:rsidR="002A5A87" w:rsidRDefault="00657DD7" w:rsidP="00657DD7">
      <w:pPr>
        <w:rPr>
          <w:szCs w:val="16"/>
        </w:rPr>
      </w:pPr>
      <w:r>
        <w:rPr>
          <w:szCs w:val="16"/>
        </w:rPr>
        <w:t>« </w:t>
      </w:r>
      <w:r w:rsidRPr="00F97A10">
        <w:rPr>
          <w:b/>
          <w:szCs w:val="16"/>
        </w:rPr>
        <w:t>Collecte</w:t>
      </w:r>
      <w:r>
        <w:rPr>
          <w:szCs w:val="16"/>
        </w:rPr>
        <w:t> » désigne la bande passante entre le Local FTTH et la Porte de livraison.</w:t>
      </w:r>
    </w:p>
    <w:p w14:paraId="5F8C80AE" w14:textId="77777777" w:rsidR="00F96391" w:rsidRDefault="00F96391" w:rsidP="00BE1FA0">
      <w:pPr>
        <w:rPr>
          <w:szCs w:val="16"/>
        </w:rPr>
      </w:pPr>
    </w:p>
    <w:p w14:paraId="7080DCA5" w14:textId="77777777" w:rsidR="002A5A87" w:rsidRPr="002A5A87" w:rsidRDefault="002A5A87" w:rsidP="00657DD7">
      <w:pPr>
        <w:rPr>
          <w:szCs w:val="16"/>
        </w:rPr>
      </w:pPr>
      <w:r>
        <w:rPr>
          <w:szCs w:val="16"/>
        </w:rPr>
        <w:t>« </w:t>
      </w:r>
      <w:r>
        <w:rPr>
          <w:b/>
          <w:szCs w:val="16"/>
        </w:rPr>
        <w:t>Collectivité Locale Délégante »</w:t>
      </w:r>
      <w:r w:rsidRPr="002A5A87">
        <w:rPr>
          <w:szCs w:val="16"/>
        </w:rPr>
        <w:t xml:space="preserve"> désigne, dans le cadre des délégations de service public, la personne publique autorité délégante, propriétaire du réseau, support du Service.</w:t>
      </w:r>
    </w:p>
    <w:p w14:paraId="1A9D8B52" w14:textId="77777777" w:rsidR="00151C1D" w:rsidRDefault="00151C1D" w:rsidP="00BE1FA0">
      <w:pPr>
        <w:rPr>
          <w:szCs w:val="16"/>
        </w:rPr>
      </w:pPr>
    </w:p>
    <w:p w14:paraId="1DF2156F" w14:textId="16A7E609" w:rsidR="00387C7E" w:rsidRPr="001176D9" w:rsidRDefault="00151C1D">
      <w:pPr>
        <w:rPr>
          <w:rFonts w:ascii="Arial" w:hAnsi="Arial"/>
          <w:szCs w:val="16"/>
        </w:rPr>
      </w:pPr>
      <w:r w:rsidRPr="009D305C">
        <w:rPr>
          <w:rFonts w:ascii="Arial" w:hAnsi="Arial" w:cs="Arial"/>
          <w:b/>
          <w:szCs w:val="16"/>
        </w:rPr>
        <w:t>« </w:t>
      </w:r>
      <w:r w:rsidR="00915E5E" w:rsidRPr="00915E5E">
        <w:rPr>
          <w:b/>
          <w:bCs/>
        </w:rPr>
        <w:t>Commande</w:t>
      </w:r>
      <w:r w:rsidRPr="009D305C">
        <w:rPr>
          <w:rFonts w:ascii="Arial" w:hAnsi="Arial" w:cs="Arial"/>
          <w:b/>
          <w:szCs w:val="16"/>
        </w:rPr>
        <w:t> »</w:t>
      </w:r>
      <w:r w:rsidRPr="009D305C">
        <w:rPr>
          <w:rFonts w:ascii="Arial" w:hAnsi="Arial" w:cs="Arial"/>
          <w:szCs w:val="16"/>
        </w:rPr>
        <w:t xml:space="preserve"> </w:t>
      </w:r>
      <w:r w:rsidRPr="00F97A10">
        <w:rPr>
          <w:szCs w:val="16"/>
        </w:rPr>
        <w:t>désigne une demande adressée par le Client au Fournisseur relative à l’exécution de Prestations désignées dans le Contrat et conforme aux Conditions Particulières et aux Conditions Générales ainsi qu’à leurs annexes.</w:t>
      </w:r>
    </w:p>
    <w:p w14:paraId="36F0D48D" w14:textId="77777777" w:rsidR="00387C7E" w:rsidRDefault="00387C7E">
      <w:pPr>
        <w:rPr>
          <w:szCs w:val="16"/>
        </w:rPr>
      </w:pPr>
    </w:p>
    <w:p w14:paraId="0DEABEE8" w14:textId="4E187721" w:rsidR="00B05B2F" w:rsidRDefault="00B05B2F">
      <w:pPr>
        <w:rPr>
          <w:szCs w:val="16"/>
        </w:rPr>
      </w:pPr>
      <w:r w:rsidRPr="00B05B2F">
        <w:rPr>
          <w:b/>
          <w:bCs/>
          <w:szCs w:val="16"/>
        </w:rPr>
        <w:t>« Desserte interne »</w:t>
      </w:r>
      <w:r w:rsidRPr="00B05B2F">
        <w:rPr>
          <w:szCs w:val="16"/>
        </w:rPr>
        <w:t xml:space="preserve"> désigne la portion du Raccordement </w:t>
      </w:r>
      <w:r>
        <w:rPr>
          <w:szCs w:val="16"/>
        </w:rPr>
        <w:t>FTTH Passif</w:t>
      </w:r>
      <w:r w:rsidRPr="00B05B2F">
        <w:rPr>
          <w:szCs w:val="16"/>
        </w:rPr>
        <w:t xml:space="preserve"> entre l</w:t>
      </w:r>
      <w:r w:rsidR="00893619">
        <w:rPr>
          <w:szCs w:val="16"/>
        </w:rPr>
        <w:t xml:space="preserve">’ONT </w:t>
      </w:r>
      <w:r w:rsidRPr="00B05B2F">
        <w:rPr>
          <w:szCs w:val="16"/>
        </w:rPr>
        <w:t>et la limite de domaine privé.</w:t>
      </w:r>
    </w:p>
    <w:p w14:paraId="01AA7AD7" w14:textId="77777777" w:rsidR="00B05B2F" w:rsidRDefault="00B05B2F">
      <w:pPr>
        <w:rPr>
          <w:szCs w:val="16"/>
        </w:rPr>
      </w:pPr>
    </w:p>
    <w:p w14:paraId="501703DB" w14:textId="466CA3D9" w:rsidR="00387C7E" w:rsidRDefault="00387C7E">
      <w:pPr>
        <w:rPr>
          <w:szCs w:val="16"/>
        </w:rPr>
      </w:pPr>
      <w:r>
        <w:rPr>
          <w:b/>
          <w:szCs w:val="16"/>
        </w:rPr>
        <w:t>« Equipement Terminal »</w:t>
      </w:r>
      <w:r>
        <w:rPr>
          <w:szCs w:val="16"/>
        </w:rPr>
        <w:t xml:space="preserve"> désigne l’ensemble des matériels – propriété </w:t>
      </w:r>
      <w:r w:rsidR="00427C35">
        <w:rPr>
          <w:szCs w:val="16"/>
        </w:rPr>
        <w:t>du Client</w:t>
      </w:r>
      <w:r w:rsidR="00F708EE">
        <w:rPr>
          <w:szCs w:val="16"/>
        </w:rPr>
        <w:t>,</w:t>
      </w:r>
      <w:r>
        <w:rPr>
          <w:szCs w:val="16"/>
        </w:rPr>
        <w:t xml:space="preserve"> d’un tiers mandaté</w:t>
      </w:r>
      <w:r w:rsidR="00F708EE">
        <w:rPr>
          <w:szCs w:val="16"/>
        </w:rPr>
        <w:t xml:space="preserve"> ou d</w:t>
      </w:r>
      <w:r w:rsidR="00820D10">
        <w:rPr>
          <w:szCs w:val="16"/>
        </w:rPr>
        <w:t>e l’</w:t>
      </w:r>
      <w:r w:rsidR="00E6702F">
        <w:rPr>
          <w:szCs w:val="16"/>
        </w:rPr>
        <w:t>Utilisateur Final</w:t>
      </w:r>
      <w:r>
        <w:rPr>
          <w:szCs w:val="16"/>
        </w:rPr>
        <w:t xml:space="preserve"> – installé par ces derniers sur le Point de Terminaison </w:t>
      </w:r>
      <w:r w:rsidR="006D2380">
        <w:rPr>
          <w:szCs w:val="16"/>
        </w:rPr>
        <w:t>Optique</w:t>
      </w:r>
      <w:r w:rsidR="00BB4062">
        <w:rPr>
          <w:szCs w:val="16"/>
        </w:rPr>
        <w:t xml:space="preserve"> et</w:t>
      </w:r>
      <w:r w:rsidR="006D2380">
        <w:rPr>
          <w:szCs w:val="16"/>
        </w:rPr>
        <w:t xml:space="preserve"> </w:t>
      </w:r>
      <w:r>
        <w:rPr>
          <w:szCs w:val="16"/>
        </w:rPr>
        <w:t>qui, une fois connectés aux équipements informatiques d</w:t>
      </w:r>
      <w:r w:rsidR="00820D10">
        <w:rPr>
          <w:szCs w:val="16"/>
        </w:rPr>
        <w:t>e l’</w:t>
      </w:r>
      <w:r w:rsidR="00E6702F">
        <w:rPr>
          <w:szCs w:val="16"/>
        </w:rPr>
        <w:t>Utilisateur Final</w:t>
      </w:r>
      <w:r>
        <w:rPr>
          <w:szCs w:val="16"/>
        </w:rPr>
        <w:t>, lui permettent d’utiliser le Lien d’Accès.</w:t>
      </w:r>
    </w:p>
    <w:p w14:paraId="56F4C961" w14:textId="77777777" w:rsidR="00B765FB" w:rsidRDefault="00B765FB">
      <w:pPr>
        <w:rPr>
          <w:szCs w:val="16"/>
        </w:rPr>
      </w:pPr>
    </w:p>
    <w:p w14:paraId="4C46E610" w14:textId="77777777" w:rsidR="00B765FB" w:rsidRDefault="00B765FB" w:rsidP="00B765FB">
      <w:pPr>
        <w:rPr>
          <w:szCs w:val="16"/>
        </w:rPr>
      </w:pPr>
      <w:r>
        <w:rPr>
          <w:b/>
          <w:szCs w:val="16"/>
        </w:rPr>
        <w:t>« Equipements du Fournisseur »</w:t>
      </w:r>
      <w:r>
        <w:rPr>
          <w:szCs w:val="16"/>
        </w:rPr>
        <w:t xml:space="preserve"> désigne tout équipement, mutualisé ou dédié, sous la responsabilité du Fournisseur ou de ses fournisseurs et utilisé par le Fournisseur pour rendre le Service.</w:t>
      </w:r>
    </w:p>
    <w:p w14:paraId="07EEA8B2" w14:textId="77777777" w:rsidR="00B765FB" w:rsidRDefault="00B765FB" w:rsidP="00B765FB">
      <w:pPr>
        <w:rPr>
          <w:szCs w:val="16"/>
        </w:rPr>
      </w:pPr>
    </w:p>
    <w:p w14:paraId="718081BB" w14:textId="5A0B8792" w:rsidR="00A74690" w:rsidRDefault="00A74690" w:rsidP="00A74690">
      <w:pPr>
        <w:rPr>
          <w:szCs w:val="16"/>
        </w:rPr>
      </w:pPr>
      <w:r w:rsidRPr="00A74690">
        <w:rPr>
          <w:b/>
          <w:bCs/>
          <w:szCs w:val="16"/>
        </w:rPr>
        <w:t>« Fournisseur»</w:t>
      </w:r>
      <w:r w:rsidRPr="00A74690">
        <w:rPr>
          <w:szCs w:val="16"/>
        </w:rPr>
        <w:t xml:space="preserve"> désigne Axione ou une Mandante, en tant qu’Opérateur d’Immeuble.</w:t>
      </w:r>
    </w:p>
    <w:p w14:paraId="48003580" w14:textId="77777777" w:rsidR="00A74690" w:rsidRDefault="00A74690" w:rsidP="00A74690">
      <w:pPr>
        <w:rPr>
          <w:szCs w:val="16"/>
        </w:rPr>
      </w:pPr>
    </w:p>
    <w:p w14:paraId="4B115926" w14:textId="2AA3E3CF" w:rsidR="00A74690" w:rsidRPr="00A74690" w:rsidRDefault="00A74690" w:rsidP="00A74690">
      <w:pPr>
        <w:rPr>
          <w:szCs w:val="16"/>
        </w:rPr>
      </w:pPr>
      <w:r w:rsidRPr="00A74690">
        <w:rPr>
          <w:b/>
          <w:bCs/>
          <w:szCs w:val="16"/>
        </w:rPr>
        <w:t>« FTTH »</w:t>
      </w:r>
      <w:r w:rsidRPr="00A74690">
        <w:rPr>
          <w:szCs w:val="16"/>
        </w:rPr>
        <w:t xml:space="preserve"> (</w:t>
      </w:r>
      <w:proofErr w:type="spellStart"/>
      <w:r w:rsidRPr="00A74690">
        <w:rPr>
          <w:szCs w:val="16"/>
        </w:rPr>
        <w:t>Fiber</w:t>
      </w:r>
      <w:proofErr w:type="spellEnd"/>
      <w:r w:rsidRPr="00A74690">
        <w:rPr>
          <w:szCs w:val="16"/>
        </w:rPr>
        <w:t xml:space="preserve"> To The Home) désigne la liaison par fibre optique jusqu’au foyer du Client Final</w:t>
      </w:r>
    </w:p>
    <w:p w14:paraId="673358FF" w14:textId="77777777" w:rsidR="00A74690" w:rsidRDefault="00A74690" w:rsidP="00B765FB">
      <w:pPr>
        <w:rPr>
          <w:szCs w:val="16"/>
        </w:rPr>
      </w:pPr>
    </w:p>
    <w:p w14:paraId="0D94869E" w14:textId="77777777" w:rsidR="00B765FB" w:rsidRDefault="00B765FB" w:rsidP="00B765FB">
      <w:pPr>
        <w:rPr>
          <w:szCs w:val="16"/>
        </w:rPr>
      </w:pPr>
      <w:r>
        <w:rPr>
          <w:b/>
          <w:szCs w:val="16"/>
        </w:rPr>
        <w:t>« Heures Ouvrables »</w:t>
      </w:r>
      <w:r>
        <w:rPr>
          <w:szCs w:val="16"/>
        </w:rPr>
        <w:t xml:space="preserve"> désigne la période de 8h à 18h les Jours Ouvrables.</w:t>
      </w:r>
    </w:p>
    <w:p w14:paraId="15FD15C5" w14:textId="77777777" w:rsidR="00B765FB" w:rsidRDefault="00B765FB" w:rsidP="00B765FB">
      <w:pPr>
        <w:rPr>
          <w:szCs w:val="16"/>
        </w:rPr>
      </w:pPr>
    </w:p>
    <w:p w14:paraId="2938ED27" w14:textId="77777777" w:rsidR="00B765FB" w:rsidRDefault="00B765FB" w:rsidP="00B765FB">
      <w:pPr>
        <w:rPr>
          <w:szCs w:val="16"/>
        </w:rPr>
      </w:pPr>
      <w:r>
        <w:rPr>
          <w:b/>
          <w:szCs w:val="16"/>
        </w:rPr>
        <w:t>« Heures Ouvrées »</w:t>
      </w:r>
      <w:r>
        <w:rPr>
          <w:szCs w:val="16"/>
        </w:rPr>
        <w:t xml:space="preserve"> désigne la période de 8h à 18h les Jours Ouvrées.</w:t>
      </w:r>
    </w:p>
    <w:p w14:paraId="1DFBD236" w14:textId="77777777" w:rsidR="00F03BFC" w:rsidRPr="006B1ACA" w:rsidRDefault="00F03BFC" w:rsidP="00F03BFC"/>
    <w:p w14:paraId="607444DF" w14:textId="22FA49CB" w:rsidR="00387C7E" w:rsidRPr="001176D9" w:rsidRDefault="00F03BFC">
      <w:pPr>
        <w:rPr>
          <w:b/>
          <w:bCs/>
          <w:szCs w:val="16"/>
        </w:rPr>
      </w:pPr>
      <w:r w:rsidRPr="00F03BFC">
        <w:rPr>
          <w:szCs w:val="16"/>
        </w:rPr>
        <w:t xml:space="preserve">« </w:t>
      </w:r>
      <w:r w:rsidRPr="00F03BFC">
        <w:rPr>
          <w:b/>
          <w:bCs/>
          <w:szCs w:val="16"/>
        </w:rPr>
        <w:t>Immeuble FTTH</w:t>
      </w:r>
      <w:r w:rsidRPr="00F03BFC">
        <w:rPr>
          <w:szCs w:val="16"/>
        </w:rPr>
        <w:t> » désigne un bâtiment ou un ensemble de bâtiments à usage d’habitation, à usage professionnel ou à usage mixte et pour lequel le Fournisseur a signé une Convention avec le Gestionnaire d’Immeuble permettant l’installation, l’exploitation et la maintenance d’un Câblage FTTH.</w:t>
      </w:r>
    </w:p>
    <w:p w14:paraId="4EF00C56" w14:textId="77777777" w:rsidR="00913E9F" w:rsidRPr="006B1ACA" w:rsidRDefault="00913E9F" w:rsidP="00913E9F"/>
    <w:p w14:paraId="6A1626F1" w14:textId="77777777" w:rsidR="00913E9F" w:rsidRDefault="00913E9F" w:rsidP="00913E9F">
      <w:pPr>
        <w:rPr>
          <w:szCs w:val="16"/>
        </w:rPr>
      </w:pPr>
      <w:r>
        <w:rPr>
          <w:b/>
          <w:szCs w:val="16"/>
        </w:rPr>
        <w:t>« Incident Majeur »</w:t>
      </w:r>
      <w:r>
        <w:rPr>
          <w:szCs w:val="16"/>
        </w:rPr>
        <w:t xml:space="preserve"> désigne une occurrence de panne du Réseau rendant le Service indisponible pour </w:t>
      </w:r>
      <w:r w:rsidR="007D6083">
        <w:rPr>
          <w:szCs w:val="16"/>
        </w:rPr>
        <w:t xml:space="preserve">l’ensemble </w:t>
      </w:r>
      <w:r>
        <w:rPr>
          <w:szCs w:val="16"/>
        </w:rPr>
        <w:t>de Liens d’Accès</w:t>
      </w:r>
      <w:r w:rsidR="007D6083">
        <w:rPr>
          <w:szCs w:val="16"/>
        </w:rPr>
        <w:t xml:space="preserve"> d’un PM, d’un NRO ou d’un arbre PON.</w:t>
      </w:r>
      <w:r>
        <w:rPr>
          <w:szCs w:val="16"/>
        </w:rPr>
        <w:t xml:space="preserve"> </w:t>
      </w:r>
    </w:p>
    <w:p w14:paraId="6EE0D45F" w14:textId="77777777" w:rsidR="00171E1A" w:rsidRPr="006B1ACA" w:rsidRDefault="00171E1A"/>
    <w:p w14:paraId="42404523" w14:textId="77777777" w:rsidR="00387C7E" w:rsidRDefault="00387C7E">
      <w:pPr>
        <w:rPr>
          <w:szCs w:val="16"/>
        </w:rPr>
      </w:pPr>
      <w:r>
        <w:rPr>
          <w:b/>
          <w:szCs w:val="16"/>
        </w:rPr>
        <w:t>« Jour Ouvrable »</w:t>
      </w:r>
      <w:r>
        <w:rPr>
          <w:szCs w:val="16"/>
        </w:rPr>
        <w:t xml:space="preserve"> désigne tout jour à l’exception du dimanche ou de tout autre jour férié en France.</w:t>
      </w:r>
    </w:p>
    <w:p w14:paraId="36A916AC" w14:textId="77777777" w:rsidR="00387C7E" w:rsidRDefault="00387C7E">
      <w:pPr>
        <w:rPr>
          <w:szCs w:val="16"/>
        </w:rPr>
      </w:pPr>
    </w:p>
    <w:p w14:paraId="0FD79EDA" w14:textId="77777777" w:rsidR="00387C7E" w:rsidRDefault="00387C7E">
      <w:pPr>
        <w:rPr>
          <w:szCs w:val="16"/>
        </w:rPr>
      </w:pPr>
      <w:r>
        <w:rPr>
          <w:b/>
          <w:szCs w:val="16"/>
        </w:rPr>
        <w:t>« Jour Ouvré »</w:t>
      </w:r>
      <w:r>
        <w:rPr>
          <w:szCs w:val="16"/>
        </w:rPr>
        <w:t xml:space="preserve"> désigne tout jour à l’exception du samedi et du dimanche et de tout autre jour férié</w:t>
      </w:r>
      <w:r w:rsidR="00D7283D">
        <w:rPr>
          <w:szCs w:val="16"/>
        </w:rPr>
        <w:t xml:space="preserve"> en France</w:t>
      </w:r>
      <w:r>
        <w:rPr>
          <w:szCs w:val="16"/>
        </w:rPr>
        <w:t>.</w:t>
      </w:r>
    </w:p>
    <w:p w14:paraId="5DF5C6EB" w14:textId="77777777" w:rsidR="00387C7E" w:rsidRDefault="00387C7E">
      <w:pPr>
        <w:rPr>
          <w:szCs w:val="16"/>
        </w:rPr>
      </w:pPr>
    </w:p>
    <w:p w14:paraId="38DD0847" w14:textId="5C727D18" w:rsidR="00387C7E" w:rsidRDefault="00387C7E">
      <w:pPr>
        <w:rPr>
          <w:szCs w:val="16"/>
        </w:rPr>
      </w:pPr>
      <w:r>
        <w:rPr>
          <w:b/>
          <w:szCs w:val="16"/>
        </w:rPr>
        <w:t>« Lien d’Accès »</w:t>
      </w:r>
      <w:r>
        <w:rPr>
          <w:szCs w:val="16"/>
        </w:rPr>
        <w:t xml:space="preserve"> désigne la liaison établie par </w:t>
      </w:r>
      <w:r w:rsidR="00427C35">
        <w:rPr>
          <w:szCs w:val="16"/>
        </w:rPr>
        <w:t>le Fournisseur</w:t>
      </w:r>
      <w:r>
        <w:rPr>
          <w:szCs w:val="16"/>
        </w:rPr>
        <w:t xml:space="preserve"> conformément aux présentes Conditions Particulières</w:t>
      </w:r>
      <w:r w:rsidR="00E76392">
        <w:rPr>
          <w:szCs w:val="16"/>
        </w:rPr>
        <w:t xml:space="preserve">. </w:t>
      </w:r>
      <w:r>
        <w:rPr>
          <w:szCs w:val="16"/>
        </w:rPr>
        <w:t xml:space="preserve">Les caractéristiques techniques des Liens d’Accès sont décrites </w:t>
      </w:r>
      <w:r w:rsidR="00C74813">
        <w:rPr>
          <w:szCs w:val="16"/>
        </w:rPr>
        <w:t xml:space="preserve">dans </w:t>
      </w:r>
      <w:r>
        <w:rPr>
          <w:szCs w:val="16"/>
        </w:rPr>
        <w:t xml:space="preserve">les Spécifications Techniques d’Accès au Service. Un </w:t>
      </w:r>
      <w:r w:rsidR="00AF2715">
        <w:rPr>
          <w:szCs w:val="16"/>
        </w:rPr>
        <w:t>L</w:t>
      </w:r>
      <w:r>
        <w:rPr>
          <w:szCs w:val="16"/>
        </w:rPr>
        <w:t xml:space="preserve">ien d’Accès est réservé au raccordement d’un </w:t>
      </w:r>
      <w:r w:rsidR="00E6702F">
        <w:rPr>
          <w:szCs w:val="16"/>
        </w:rPr>
        <w:t>Utilisateur Final</w:t>
      </w:r>
      <w:r>
        <w:rPr>
          <w:szCs w:val="16"/>
        </w:rPr>
        <w:t xml:space="preserve"> unique.</w:t>
      </w:r>
    </w:p>
    <w:p w14:paraId="2EA58E95" w14:textId="77777777" w:rsidR="00B765FB" w:rsidRDefault="00B765FB">
      <w:pPr>
        <w:rPr>
          <w:szCs w:val="16"/>
        </w:rPr>
      </w:pPr>
    </w:p>
    <w:p w14:paraId="017CFACA" w14:textId="77777777" w:rsidR="00B765FB" w:rsidRDefault="00B765FB" w:rsidP="00B765FB">
      <w:r w:rsidRPr="00D51ADD">
        <w:rPr>
          <w:b/>
          <w:bCs/>
        </w:rPr>
        <w:t>« </w:t>
      </w:r>
      <w:r>
        <w:rPr>
          <w:b/>
          <w:bCs/>
        </w:rPr>
        <w:t xml:space="preserve">Ligne </w:t>
      </w:r>
      <w:r w:rsidRPr="00D51ADD">
        <w:rPr>
          <w:b/>
          <w:bCs/>
        </w:rPr>
        <w:t>FTTH »</w:t>
      </w:r>
      <w:r w:rsidRPr="00D51ADD">
        <w:t xml:space="preserve"> (</w:t>
      </w:r>
      <w:proofErr w:type="spellStart"/>
      <w:r w:rsidRPr="00D51ADD">
        <w:t>Fiber</w:t>
      </w:r>
      <w:proofErr w:type="spellEnd"/>
      <w:r w:rsidRPr="00D51ADD">
        <w:t xml:space="preserve"> To The Home) désigne </w:t>
      </w:r>
      <w:r>
        <w:t>la liaison par</w:t>
      </w:r>
      <w:r w:rsidRPr="00D51ADD">
        <w:t xml:space="preserve"> fibre optique jusqu’</w:t>
      </w:r>
      <w:r>
        <w:t>au foyer de l’Utilisateur Final.</w:t>
      </w:r>
    </w:p>
    <w:p w14:paraId="32ADD0B4" w14:textId="77777777" w:rsidR="00B765FB" w:rsidRDefault="00B765FB" w:rsidP="00B765FB"/>
    <w:p w14:paraId="512C6182" w14:textId="77777777" w:rsidR="00B765FB" w:rsidRDefault="00B765FB" w:rsidP="00B765FB">
      <w:pPr>
        <w:rPr>
          <w:szCs w:val="16"/>
        </w:rPr>
      </w:pPr>
      <w:r>
        <w:t>« </w:t>
      </w:r>
      <w:r w:rsidRPr="00C01F1E">
        <w:rPr>
          <w:b/>
        </w:rPr>
        <w:t>Ligne FTTH Passive</w:t>
      </w:r>
      <w:r>
        <w:t> » désigne le service fourni dans le cadre du contrat FTTH Passif.</w:t>
      </w:r>
    </w:p>
    <w:p w14:paraId="12935CA5" w14:textId="77777777" w:rsidR="00657DD7" w:rsidRDefault="00657DD7">
      <w:pPr>
        <w:rPr>
          <w:szCs w:val="16"/>
        </w:rPr>
      </w:pPr>
    </w:p>
    <w:p w14:paraId="65E34E61" w14:textId="6D16E91F" w:rsidR="00B417FF" w:rsidRDefault="00657DD7" w:rsidP="00657DD7">
      <w:r>
        <w:rPr>
          <w:b/>
          <w:bCs/>
        </w:rPr>
        <w:t>« Local FTTH (Locaux FTTH)</w:t>
      </w:r>
      <w:r w:rsidR="006B1ACA">
        <w:rPr>
          <w:b/>
          <w:bCs/>
        </w:rPr>
        <w:t> »</w:t>
      </w:r>
      <w:r>
        <w:rPr>
          <w:b/>
          <w:bCs/>
        </w:rPr>
        <w:t xml:space="preserve"> </w:t>
      </w:r>
      <w:r>
        <w:t xml:space="preserve">désigne le logement ou le local professionnel d’un </w:t>
      </w:r>
      <w:r w:rsidR="00E6702F">
        <w:t>Utilisateur Final</w:t>
      </w:r>
      <w:r>
        <w:t xml:space="preserve"> réel ou potentiel situé dans un Immeuble FTTH ou dans un Pavillon FTTH.</w:t>
      </w:r>
    </w:p>
    <w:p w14:paraId="433F8812" w14:textId="77777777" w:rsidR="00A74690" w:rsidRDefault="00A74690" w:rsidP="00657DD7"/>
    <w:p w14:paraId="7753FDF7" w14:textId="4987F9BF" w:rsidR="00A74690" w:rsidRDefault="00A74690" w:rsidP="00657DD7">
      <w:r w:rsidRPr="00A74690">
        <w:rPr>
          <w:b/>
          <w:bCs/>
        </w:rPr>
        <w:t>« Mandante » </w:t>
      </w:r>
      <w:r w:rsidRPr="00A74690">
        <w:t xml:space="preserve">désigne toute société titulaire d’une convention de délégation de service publique ou d’un partenariat public privé, ayant la qualité d’Opérateur d’Immeuble et ayant mandaté Axione pour négocier et signer le Contrat. La liste des Mandantes est jointe en annexe 1 des Conditions Générales. </w:t>
      </w:r>
    </w:p>
    <w:p w14:paraId="326981AD" w14:textId="77777777" w:rsidR="00657DD7" w:rsidRPr="000603A0" w:rsidRDefault="00657DD7">
      <w:pPr>
        <w:rPr>
          <w:szCs w:val="16"/>
        </w:rPr>
      </w:pPr>
    </w:p>
    <w:p w14:paraId="14A0A736" w14:textId="28F6997D" w:rsidR="00657DD7" w:rsidRPr="000603A0" w:rsidRDefault="00657DD7" w:rsidP="00657DD7">
      <w:r w:rsidRPr="000603A0">
        <w:rPr>
          <w:b/>
          <w:bCs/>
        </w:rPr>
        <w:t>« Nœud de Raccordement Optique »</w:t>
      </w:r>
      <w:r w:rsidRPr="000603A0">
        <w:t xml:space="preserve"> ou « </w:t>
      </w:r>
      <w:r w:rsidRPr="000603A0">
        <w:rPr>
          <w:b/>
          <w:bCs/>
        </w:rPr>
        <w:t>NRO</w:t>
      </w:r>
      <w:r w:rsidRPr="000603A0">
        <w:t xml:space="preserve"> » désigne le site qui héberge l’équipement d’accès actif d’un </w:t>
      </w:r>
      <w:r w:rsidR="00BB4062" w:rsidRPr="000603A0">
        <w:t>Utilisateur Final</w:t>
      </w:r>
      <w:r w:rsidRPr="000603A0">
        <w:t>. Ce site peut être, entre autre cas, un PM-NRO</w:t>
      </w:r>
      <w:r w:rsidR="00960C4C">
        <w:t>.</w:t>
      </w:r>
      <w:r w:rsidRPr="000603A0">
        <w:t xml:space="preserve"> Il est la propriété</w:t>
      </w:r>
      <w:r w:rsidR="00960C4C">
        <w:t xml:space="preserve"> de la Collectivité Locale Délégante.</w:t>
      </w:r>
    </w:p>
    <w:p w14:paraId="723B8287" w14:textId="77777777" w:rsidR="004E22E6" w:rsidRPr="000603A0" w:rsidRDefault="004E22E6" w:rsidP="00657DD7"/>
    <w:p w14:paraId="700B72EB" w14:textId="34CA6F14" w:rsidR="007377C9" w:rsidRDefault="00D7005E" w:rsidP="007377C9">
      <w:r w:rsidRPr="000603A0">
        <w:t>« </w:t>
      </w:r>
      <w:r w:rsidRPr="000603A0">
        <w:rPr>
          <w:b/>
        </w:rPr>
        <w:t>ONT</w:t>
      </w:r>
      <w:r w:rsidRPr="000603A0">
        <w:t> » ou « </w:t>
      </w:r>
      <w:r w:rsidRPr="000603A0">
        <w:rPr>
          <w:b/>
        </w:rPr>
        <w:t xml:space="preserve">Optical Network </w:t>
      </w:r>
      <w:proofErr w:type="spellStart"/>
      <w:r w:rsidRPr="000603A0">
        <w:rPr>
          <w:b/>
        </w:rPr>
        <w:t>Termination</w:t>
      </w:r>
      <w:proofErr w:type="spellEnd"/>
      <w:r w:rsidRPr="000603A0">
        <w:t> » désigne l’équipement actif convertissant les signaux optiques en signaux électriques.</w:t>
      </w:r>
    </w:p>
    <w:p w14:paraId="0244A792" w14:textId="77777777" w:rsidR="000D45D0" w:rsidRDefault="000D45D0" w:rsidP="00657DD7"/>
    <w:p w14:paraId="1EDD4BCE" w14:textId="77777777" w:rsidR="000D45D0" w:rsidRDefault="000D45D0" w:rsidP="000D45D0">
      <w:r>
        <w:rPr>
          <w:b/>
          <w:bCs/>
        </w:rPr>
        <w:t>« Outil d’Eligibilité</w:t>
      </w:r>
      <w:r w:rsidR="006B1ACA">
        <w:rPr>
          <w:b/>
          <w:bCs/>
        </w:rPr>
        <w:t> »</w:t>
      </w:r>
      <w:r>
        <w:t xml:space="preserve"> désigne l’outil qui permet de vérifier l’éligibilité d’une adresse au Service.</w:t>
      </w:r>
    </w:p>
    <w:p w14:paraId="2AB1E76B" w14:textId="77777777" w:rsidR="00B464FA" w:rsidRPr="006B1ACA" w:rsidRDefault="00B464FA" w:rsidP="00B464FA"/>
    <w:p w14:paraId="0607CC97" w14:textId="6BA59EF7" w:rsidR="00CA158C" w:rsidRDefault="00CA158C" w:rsidP="00657DD7">
      <w:pPr>
        <w:rPr>
          <w:b/>
          <w:bCs/>
        </w:rPr>
      </w:pPr>
      <w:r>
        <w:rPr>
          <w:b/>
          <w:bCs/>
        </w:rPr>
        <w:t>« Parc</w:t>
      </w:r>
      <w:r w:rsidR="006B1ACA">
        <w:rPr>
          <w:b/>
          <w:bCs/>
        </w:rPr>
        <w:t> »</w:t>
      </w:r>
      <w:r>
        <w:t xml:space="preserve"> désigne l’ensemble des lignes FTTH Active</w:t>
      </w:r>
      <w:r w:rsidR="00D7005E">
        <w:t>s</w:t>
      </w:r>
      <w:r>
        <w:t xml:space="preserve"> souscrites par le Client.</w:t>
      </w:r>
    </w:p>
    <w:p w14:paraId="744072BA" w14:textId="77777777" w:rsidR="00CA158C" w:rsidRPr="006B1ACA" w:rsidRDefault="00CA158C" w:rsidP="00657DD7"/>
    <w:p w14:paraId="677E3A69" w14:textId="77777777" w:rsidR="00657DD7" w:rsidRDefault="00657DD7" w:rsidP="00657DD7">
      <w:r>
        <w:rPr>
          <w:b/>
          <w:bCs/>
        </w:rPr>
        <w:t>« Pavillon FTTH »</w:t>
      </w:r>
      <w:r>
        <w:t xml:space="preserve"> désigne un </w:t>
      </w:r>
      <w:r w:rsidRPr="00583ED7">
        <w:t>bâtiment à usage d’habitation</w:t>
      </w:r>
      <w:r>
        <w:t>, à usage professionnel</w:t>
      </w:r>
      <w:r w:rsidRPr="00583ED7">
        <w:t xml:space="preserve"> ou à usage mixte pour lequel </w:t>
      </w:r>
      <w:r>
        <w:t xml:space="preserve">le Fournisseur </w:t>
      </w:r>
      <w:r w:rsidRPr="00583ED7">
        <w:t xml:space="preserve">a installé une </w:t>
      </w:r>
      <w:r>
        <w:t>l</w:t>
      </w:r>
      <w:r w:rsidRPr="00583ED7">
        <w:t>igne FTTH. Un</w:t>
      </w:r>
      <w:r>
        <w:t xml:space="preserve"> P</w:t>
      </w:r>
      <w:r w:rsidRPr="00583ED7">
        <w:t xml:space="preserve">avillon FTTH n’est pas un </w:t>
      </w:r>
      <w:r>
        <w:t>I</w:t>
      </w:r>
      <w:r w:rsidRPr="00583ED7">
        <w:t>mmeuble FTTH.</w:t>
      </w:r>
    </w:p>
    <w:p w14:paraId="7093BD43" w14:textId="77777777" w:rsidR="00CA158C" w:rsidRPr="006B1ACA" w:rsidRDefault="00CA158C" w:rsidP="00657DD7"/>
    <w:p w14:paraId="341A1D2E" w14:textId="7A6A15FD" w:rsidR="00F96391" w:rsidRDefault="009C1593" w:rsidP="00F96391">
      <w:r w:rsidRPr="009C1593">
        <w:rPr>
          <w:b/>
          <w:bCs/>
        </w:rPr>
        <w:t>« Plaque »</w:t>
      </w:r>
      <w:r w:rsidRPr="009C1593">
        <w:t xml:space="preserve"> désigne tout ou partie du Réseau FTTH</w:t>
      </w:r>
      <w:r w:rsidR="00960C4C">
        <w:t xml:space="preserve"> de la Collectivité Locale Délégante</w:t>
      </w:r>
      <w:r w:rsidRPr="009C1593">
        <w:t xml:space="preserve">. </w:t>
      </w:r>
      <w:r w:rsidR="00347B76">
        <w:rPr>
          <w:rFonts w:cs="Arial"/>
        </w:rPr>
        <w:t>Chaque Plaque</w:t>
      </w:r>
      <w:r w:rsidR="00347B76" w:rsidRPr="00C8680E">
        <w:t xml:space="preserve"> </w:t>
      </w:r>
      <w:r w:rsidR="00347B76">
        <w:t xml:space="preserve">appartient au domaine public de la Collectivité Locale Délégante. L’occupation de ces Plaques est soumise au régime de la domanialité publique, et en particulier aux dispositions de Code Général de la Propriété des Personnes Publiques. </w:t>
      </w:r>
      <w:r w:rsidRPr="009C1593">
        <w:t>Les conditions contractuelles et tarifaires peuvent varier selon la Plaque considérée</w:t>
      </w:r>
      <w:r w:rsidR="00BB4062">
        <w:t>.</w:t>
      </w:r>
    </w:p>
    <w:p w14:paraId="32FCCBFC" w14:textId="77777777" w:rsidR="00B765FB" w:rsidRDefault="00B765FB" w:rsidP="00657DD7"/>
    <w:p w14:paraId="53E9F6D5" w14:textId="52DA7263" w:rsidR="00657DD7" w:rsidRPr="004120B6" w:rsidRDefault="00B765FB" w:rsidP="00B464FA">
      <w:pPr>
        <w:rPr>
          <w:b/>
        </w:rPr>
      </w:pPr>
      <w:r>
        <w:rPr>
          <w:b/>
          <w:bCs/>
        </w:rPr>
        <w:t>« Point de Branchement Optique »</w:t>
      </w:r>
      <w:r>
        <w:t xml:space="preserve"> ou « </w:t>
      </w:r>
      <w:r w:rsidRPr="0073159C">
        <w:rPr>
          <w:b/>
          <w:bCs/>
        </w:rPr>
        <w:t>PBO</w:t>
      </w:r>
      <w:r>
        <w:t xml:space="preserve"> » désigne </w:t>
      </w:r>
      <w:r w:rsidRPr="001638F7">
        <w:t>le b</w:t>
      </w:r>
      <w:r>
        <w:t>oitier auquel le logement ou le local professionnel de l’Utilisateur Final</w:t>
      </w:r>
      <w:r w:rsidRPr="001638F7">
        <w:t xml:space="preserve"> </w:t>
      </w:r>
      <w:r>
        <w:t>doit être</w:t>
      </w:r>
      <w:r w:rsidRPr="001638F7">
        <w:t xml:space="preserve"> raccordé pour </w:t>
      </w:r>
      <w:r>
        <w:t xml:space="preserve">la mise en service des offres de l’Usager. </w:t>
      </w:r>
    </w:p>
    <w:p w14:paraId="52D0F479" w14:textId="77777777" w:rsidR="00657DD7" w:rsidRPr="00B046EB" w:rsidRDefault="00657DD7" w:rsidP="00B464FA">
      <w:pPr>
        <w:rPr>
          <w:szCs w:val="16"/>
        </w:rPr>
      </w:pPr>
    </w:p>
    <w:p w14:paraId="45F577E1" w14:textId="216313F6" w:rsidR="000F64CF" w:rsidRDefault="00387C7E" w:rsidP="000F64CF">
      <w:pPr>
        <w:rPr>
          <w:szCs w:val="16"/>
        </w:rPr>
      </w:pPr>
      <w:r>
        <w:rPr>
          <w:b/>
          <w:szCs w:val="16"/>
        </w:rPr>
        <w:t>« Point de Terminaison »</w:t>
      </w:r>
      <w:r>
        <w:rPr>
          <w:szCs w:val="16"/>
        </w:rPr>
        <w:t xml:space="preserve"> </w:t>
      </w:r>
      <w:r w:rsidR="009A6F92">
        <w:rPr>
          <w:szCs w:val="16"/>
        </w:rPr>
        <w:t xml:space="preserve">ou « PT » </w:t>
      </w:r>
      <w:r>
        <w:rPr>
          <w:szCs w:val="16"/>
        </w:rPr>
        <w:t xml:space="preserve">désigne </w:t>
      </w:r>
      <w:r w:rsidR="002C0432">
        <w:rPr>
          <w:szCs w:val="16"/>
        </w:rPr>
        <w:t xml:space="preserve">l’interface </w:t>
      </w:r>
      <w:r w:rsidR="00D7005E">
        <w:rPr>
          <w:szCs w:val="16"/>
        </w:rPr>
        <w:t>terminale de la Ligne FTTH</w:t>
      </w:r>
      <w:r w:rsidR="007377C9">
        <w:rPr>
          <w:szCs w:val="16"/>
        </w:rPr>
        <w:t xml:space="preserve"> </w:t>
      </w:r>
      <w:r w:rsidR="002B5548">
        <w:rPr>
          <w:szCs w:val="16"/>
        </w:rPr>
        <w:t xml:space="preserve">Active </w:t>
      </w:r>
      <w:r w:rsidR="002C0432">
        <w:rPr>
          <w:szCs w:val="16"/>
        </w:rPr>
        <w:t xml:space="preserve">située à l’intérieur du </w:t>
      </w:r>
      <w:r w:rsidR="00CC3F06">
        <w:rPr>
          <w:szCs w:val="16"/>
        </w:rPr>
        <w:t xml:space="preserve">Site </w:t>
      </w:r>
      <w:r w:rsidR="00E6702F">
        <w:rPr>
          <w:szCs w:val="16"/>
        </w:rPr>
        <w:t>Utilisateur</w:t>
      </w:r>
      <w:r w:rsidR="0092374B">
        <w:rPr>
          <w:szCs w:val="16"/>
        </w:rPr>
        <w:t xml:space="preserve"> Final</w:t>
      </w:r>
      <w:r w:rsidR="002C0432">
        <w:rPr>
          <w:szCs w:val="16"/>
        </w:rPr>
        <w:t>.</w:t>
      </w:r>
      <w:r w:rsidR="00E969B0">
        <w:rPr>
          <w:szCs w:val="16"/>
        </w:rPr>
        <w:t xml:space="preserve"> Ce Point de Terminaison correspond à un ONT.</w:t>
      </w:r>
    </w:p>
    <w:p w14:paraId="543A5AA9" w14:textId="77777777" w:rsidR="004F4801" w:rsidRPr="00B046EB" w:rsidRDefault="004F4801" w:rsidP="004F4801">
      <w:pPr>
        <w:rPr>
          <w:bCs/>
        </w:rPr>
      </w:pPr>
    </w:p>
    <w:p w14:paraId="5DB4EC6B" w14:textId="71018F98" w:rsidR="004F4801" w:rsidRDefault="004F4801" w:rsidP="004F4801">
      <w:r>
        <w:rPr>
          <w:b/>
          <w:bCs/>
        </w:rPr>
        <w:t>« Point de Mutualisation »</w:t>
      </w:r>
      <w:r>
        <w:t xml:space="preserve"> ou « </w:t>
      </w:r>
      <w:r w:rsidRPr="0073159C">
        <w:rPr>
          <w:b/>
          <w:bCs/>
        </w:rPr>
        <w:t>PM</w:t>
      </w:r>
      <w:r>
        <w:t xml:space="preserve"> » désigne </w:t>
      </w:r>
      <w:r w:rsidRPr="00136335">
        <w:t>le point sur lequel les liens fibre</w:t>
      </w:r>
      <w:r w:rsidR="00D90C3F">
        <w:t>s</w:t>
      </w:r>
      <w:r w:rsidRPr="00136335">
        <w:t xml:space="preserve"> optiques de la </w:t>
      </w:r>
      <w:r>
        <w:t>b</w:t>
      </w:r>
      <w:r w:rsidRPr="00136335">
        <w:t xml:space="preserve">oucle </w:t>
      </w:r>
      <w:r>
        <w:t>l</w:t>
      </w:r>
      <w:r w:rsidRPr="00136335">
        <w:t xml:space="preserve">ocale </w:t>
      </w:r>
      <w:r>
        <w:t>o</w:t>
      </w:r>
      <w:r w:rsidRPr="00136335">
        <w:t xml:space="preserve">ptique sont concentrés pour être </w:t>
      </w:r>
      <w:r>
        <w:t xml:space="preserve">connectés au réseau actif FTTH </w:t>
      </w:r>
      <w:r w:rsidR="002A016A">
        <w:t>de la Collectivité Locale Délégante</w:t>
      </w:r>
      <w:r>
        <w:t>.</w:t>
      </w:r>
    </w:p>
    <w:p w14:paraId="3DC8BE02" w14:textId="77777777" w:rsidR="003B3EBF" w:rsidRPr="00B046EB" w:rsidRDefault="003B3EBF" w:rsidP="004F4801">
      <w:pPr>
        <w:rPr>
          <w:bCs/>
        </w:rPr>
      </w:pPr>
    </w:p>
    <w:p w14:paraId="7BD3EBBD" w14:textId="63EEA224" w:rsidR="004F4801" w:rsidRDefault="004F4801" w:rsidP="004F4801">
      <w:r>
        <w:rPr>
          <w:b/>
          <w:bCs/>
        </w:rPr>
        <w:t>« Point de Terminaison Optique »</w:t>
      </w:r>
      <w:r>
        <w:t xml:space="preserve"> ou « </w:t>
      </w:r>
      <w:r w:rsidRPr="0073159C">
        <w:rPr>
          <w:b/>
          <w:bCs/>
        </w:rPr>
        <w:t>PTO</w:t>
      </w:r>
      <w:r w:rsidRPr="0073159C">
        <w:t> </w:t>
      </w:r>
      <w:r>
        <w:t>» désigne la limite de séparation entre le raccordement au PBO et l’installation privative d</w:t>
      </w:r>
      <w:r w:rsidR="00820D10">
        <w:t>e l’</w:t>
      </w:r>
      <w:r w:rsidR="00E6702F">
        <w:t>Utilisateur Final</w:t>
      </w:r>
      <w:r>
        <w:t>. Le PTO est situé dans l’habitation ou le local professionnel d</w:t>
      </w:r>
      <w:r w:rsidR="00820D10">
        <w:t>e l’</w:t>
      </w:r>
      <w:r w:rsidR="00E6702F">
        <w:t>Utilisateur Final</w:t>
      </w:r>
      <w:r>
        <w:t>. Il est matérialisé par un équipement comportant une ou plusieurs prises.</w:t>
      </w:r>
    </w:p>
    <w:p w14:paraId="0C079B77" w14:textId="77777777" w:rsidR="00B20A08" w:rsidRDefault="00B20A08" w:rsidP="00B20A08"/>
    <w:p w14:paraId="1AE3CF2B" w14:textId="4A8BAF54" w:rsidR="00657DD7" w:rsidRDefault="00657DD7" w:rsidP="00B20A08">
      <w:pPr>
        <w:rPr>
          <w:b/>
          <w:bCs/>
        </w:rPr>
      </w:pPr>
      <w:r>
        <w:rPr>
          <w:b/>
          <w:szCs w:val="16"/>
        </w:rPr>
        <w:t>« Porte de Livraison »</w:t>
      </w:r>
      <w:r>
        <w:rPr>
          <w:szCs w:val="16"/>
        </w:rPr>
        <w:t xml:space="preserve"> désigne l’interface physique sur laquelle le Fournisseur livre le Service au Client.</w:t>
      </w:r>
    </w:p>
    <w:p w14:paraId="308F5B2C" w14:textId="77777777" w:rsidR="00657DD7" w:rsidRPr="00B046EB" w:rsidRDefault="00657DD7" w:rsidP="00B20A08">
      <w:pPr>
        <w:rPr>
          <w:bCs/>
        </w:rPr>
      </w:pPr>
    </w:p>
    <w:p w14:paraId="2B592306" w14:textId="5C8BCF57" w:rsidR="00657DD7" w:rsidRPr="001176D9" w:rsidRDefault="00B20A08" w:rsidP="00B74F6B">
      <w:r>
        <w:rPr>
          <w:b/>
          <w:bCs/>
        </w:rPr>
        <w:t xml:space="preserve">« Raccordement </w:t>
      </w:r>
      <w:r w:rsidR="003B3EBF">
        <w:rPr>
          <w:b/>
          <w:bCs/>
        </w:rPr>
        <w:t>Client Final</w:t>
      </w:r>
      <w:r>
        <w:rPr>
          <w:b/>
          <w:bCs/>
        </w:rPr>
        <w:t xml:space="preserve"> » </w:t>
      </w:r>
      <w:r w:rsidRPr="00B45495">
        <w:t>désigne</w:t>
      </w:r>
      <w:r>
        <w:t xml:space="preserve"> un raccordement du Local FTTH techniquement compatible avec les recommandations techniques du Service. Ce raccordement va d</w:t>
      </w:r>
      <w:r w:rsidR="00D7005E">
        <w:t>e la soudure a</w:t>
      </w:r>
      <w:r>
        <w:t>u PBO jusqu’</w:t>
      </w:r>
      <w:r w:rsidR="00BB4062">
        <w:t xml:space="preserve">au </w:t>
      </w:r>
      <w:r>
        <w:t>PTO compris. Cette définition est valable quel que soit le mode de raccordement du Site FTTH (génie civil, appui aérien, boitier en façade).</w:t>
      </w:r>
    </w:p>
    <w:p w14:paraId="0BF8DBC4" w14:textId="77777777" w:rsidR="00A76E29" w:rsidRPr="00B046EB" w:rsidRDefault="00A76E29" w:rsidP="00B74F6B">
      <w:pPr>
        <w:rPr>
          <w:bCs/>
        </w:rPr>
      </w:pPr>
    </w:p>
    <w:p w14:paraId="15A15468" w14:textId="2D5F82F8" w:rsidR="00657DD7" w:rsidRPr="00B45495" w:rsidRDefault="00657DD7" w:rsidP="00657DD7">
      <w:pPr>
        <w:rPr>
          <w:szCs w:val="16"/>
        </w:rPr>
      </w:pPr>
      <w:r>
        <w:rPr>
          <w:b/>
          <w:szCs w:val="16"/>
        </w:rPr>
        <w:t xml:space="preserve">« Réseau » </w:t>
      </w:r>
      <w:r w:rsidR="00347B76" w:rsidRPr="00347B76">
        <w:rPr>
          <w:szCs w:val="16"/>
        </w:rPr>
        <w:t>ou</w:t>
      </w:r>
      <w:r w:rsidR="00347B76">
        <w:rPr>
          <w:b/>
          <w:szCs w:val="16"/>
        </w:rPr>
        <w:t xml:space="preserve"> « Réseau FTTH » </w:t>
      </w:r>
      <w:r w:rsidRPr="00B45495">
        <w:rPr>
          <w:szCs w:val="16"/>
        </w:rPr>
        <w:t>désigne</w:t>
      </w:r>
      <w:r>
        <w:rPr>
          <w:szCs w:val="16"/>
        </w:rPr>
        <w:t xml:space="preserve"> l’ensemble des équipements et infrastructures </w:t>
      </w:r>
      <w:r w:rsidR="002A016A">
        <w:rPr>
          <w:szCs w:val="16"/>
        </w:rPr>
        <w:t>de la Collectivité Locale Délégante</w:t>
      </w:r>
      <w:r w:rsidR="00D90C3F">
        <w:rPr>
          <w:szCs w:val="16"/>
        </w:rPr>
        <w:t>,</w:t>
      </w:r>
      <w:r>
        <w:rPr>
          <w:szCs w:val="16"/>
        </w:rPr>
        <w:t xml:space="preserve"> support du Service.</w:t>
      </w:r>
    </w:p>
    <w:p w14:paraId="692FC83C" w14:textId="77777777" w:rsidR="00657DD7" w:rsidRPr="00B046EB" w:rsidRDefault="00657DD7" w:rsidP="00B74F6B">
      <w:pPr>
        <w:rPr>
          <w:bCs/>
        </w:rPr>
      </w:pPr>
    </w:p>
    <w:p w14:paraId="69219750" w14:textId="0677B186" w:rsidR="00657DD7" w:rsidRDefault="00657DD7" w:rsidP="00657DD7">
      <w:pPr>
        <w:rPr>
          <w:szCs w:val="16"/>
        </w:rPr>
      </w:pPr>
      <w:r>
        <w:rPr>
          <w:b/>
          <w:szCs w:val="16"/>
        </w:rPr>
        <w:t xml:space="preserve">« Service » </w:t>
      </w:r>
      <w:r w:rsidRPr="00B30A4B">
        <w:rPr>
          <w:szCs w:val="16"/>
        </w:rPr>
        <w:t xml:space="preserve">ou </w:t>
      </w:r>
      <w:r w:rsidRPr="00B30A4B">
        <w:rPr>
          <w:b/>
          <w:szCs w:val="16"/>
        </w:rPr>
        <w:t>« Ligne FTTH</w:t>
      </w:r>
      <w:r>
        <w:rPr>
          <w:b/>
          <w:szCs w:val="16"/>
        </w:rPr>
        <w:t xml:space="preserve"> Active</w:t>
      </w:r>
      <w:r>
        <w:rPr>
          <w:szCs w:val="16"/>
        </w:rPr>
        <w:t> » désigne le service « Ligne FTTH Active » fourni par le Fournisseur au Client au titre des présentes Conditions Particulières.</w:t>
      </w:r>
    </w:p>
    <w:p w14:paraId="48B6B905" w14:textId="77777777" w:rsidR="00657DD7" w:rsidRDefault="00657DD7" w:rsidP="00657DD7">
      <w:pPr>
        <w:rPr>
          <w:szCs w:val="16"/>
        </w:rPr>
      </w:pPr>
    </w:p>
    <w:p w14:paraId="24E4D04E" w14:textId="77777777" w:rsidR="00657DD7" w:rsidRDefault="00657DD7" w:rsidP="00657DD7">
      <w:pPr>
        <w:rPr>
          <w:szCs w:val="16"/>
        </w:rPr>
      </w:pPr>
      <w:r>
        <w:rPr>
          <w:b/>
          <w:szCs w:val="16"/>
        </w:rPr>
        <w:t>« Site Utilisateur »</w:t>
      </w:r>
      <w:r>
        <w:rPr>
          <w:szCs w:val="16"/>
        </w:rPr>
        <w:t xml:space="preserve"> désigne le(s) bâtiment(s) ou espaces dans lesquels le Client ou un </w:t>
      </w:r>
      <w:r w:rsidR="00E6702F">
        <w:rPr>
          <w:szCs w:val="16"/>
        </w:rPr>
        <w:t>Utilisateur Final</w:t>
      </w:r>
      <w:r>
        <w:rPr>
          <w:szCs w:val="16"/>
        </w:rPr>
        <w:t xml:space="preserve"> est situé et où l’Equipement Terminal sera installé.</w:t>
      </w:r>
    </w:p>
    <w:p w14:paraId="4CC8FD6E" w14:textId="77777777" w:rsidR="001176D9" w:rsidRDefault="001176D9" w:rsidP="00657DD7">
      <w:pPr>
        <w:rPr>
          <w:szCs w:val="16"/>
        </w:rPr>
      </w:pPr>
    </w:p>
    <w:p w14:paraId="791811DB" w14:textId="77777777" w:rsidR="00380C2D" w:rsidRDefault="00380C2D">
      <w:pPr>
        <w:rPr>
          <w:szCs w:val="16"/>
        </w:rPr>
      </w:pPr>
    </w:p>
    <w:p w14:paraId="2B71F060" w14:textId="77777777" w:rsidR="00F176E3" w:rsidRPr="00F25DA0" w:rsidRDefault="00F176E3" w:rsidP="00393014">
      <w:pPr>
        <w:pStyle w:val="StyleTitre1"/>
      </w:pPr>
      <w:bookmarkStart w:id="2" w:name="_Toc150262723"/>
      <w:r w:rsidRPr="00F25DA0">
        <w:t>OBJET DES CONDITIONS PARTICULIERES</w:t>
      </w:r>
      <w:bookmarkEnd w:id="2"/>
    </w:p>
    <w:p w14:paraId="4D1F696B" w14:textId="38E204AC" w:rsidR="00C74813" w:rsidRDefault="00D94E5E" w:rsidP="00C74813">
      <w:pPr>
        <w:rPr>
          <w:szCs w:val="16"/>
        </w:rPr>
      </w:pPr>
      <w:r>
        <w:rPr>
          <w:szCs w:val="16"/>
        </w:rPr>
        <w:t>Le service « </w:t>
      </w:r>
      <w:r w:rsidR="00C74813">
        <w:rPr>
          <w:szCs w:val="16"/>
        </w:rPr>
        <w:t xml:space="preserve">Ligne </w:t>
      </w:r>
      <w:r w:rsidR="00E76392">
        <w:rPr>
          <w:szCs w:val="16"/>
        </w:rPr>
        <w:t>FTTH</w:t>
      </w:r>
      <w:r w:rsidR="002610F1">
        <w:rPr>
          <w:szCs w:val="16"/>
        </w:rPr>
        <w:t xml:space="preserve"> Active</w:t>
      </w:r>
      <w:r>
        <w:rPr>
          <w:szCs w:val="16"/>
        </w:rPr>
        <w:t xml:space="preserve"> » </w:t>
      </w:r>
      <w:r w:rsidR="00C74813" w:rsidRPr="00C74813">
        <w:rPr>
          <w:szCs w:val="16"/>
        </w:rPr>
        <w:t>est un service de vente d’</w:t>
      </w:r>
      <w:r w:rsidR="00C74813">
        <w:rPr>
          <w:szCs w:val="16"/>
        </w:rPr>
        <w:t>a</w:t>
      </w:r>
      <w:r w:rsidR="00C74813" w:rsidRPr="00C74813">
        <w:rPr>
          <w:szCs w:val="16"/>
        </w:rPr>
        <w:t xml:space="preserve">ccès </w:t>
      </w:r>
      <w:r w:rsidR="00E76392">
        <w:rPr>
          <w:szCs w:val="16"/>
        </w:rPr>
        <w:t>FTTH</w:t>
      </w:r>
      <w:r w:rsidR="00E76392" w:rsidRPr="00C74813">
        <w:rPr>
          <w:szCs w:val="16"/>
        </w:rPr>
        <w:t xml:space="preserve"> </w:t>
      </w:r>
      <w:r w:rsidR="00C74813" w:rsidRPr="00C74813">
        <w:rPr>
          <w:szCs w:val="16"/>
        </w:rPr>
        <w:t xml:space="preserve">qui permet </w:t>
      </w:r>
      <w:r w:rsidR="00964C2C">
        <w:rPr>
          <w:szCs w:val="16"/>
        </w:rPr>
        <w:t xml:space="preserve">au Client </w:t>
      </w:r>
      <w:r w:rsidR="00FB5454">
        <w:rPr>
          <w:szCs w:val="16"/>
        </w:rPr>
        <w:t>d’offrir sous sa propre marque, aux Utilisateurs finaux,</w:t>
      </w:r>
      <w:r w:rsidR="00BB4062">
        <w:rPr>
          <w:szCs w:val="16"/>
        </w:rPr>
        <w:t xml:space="preserve"> </w:t>
      </w:r>
      <w:r w:rsidR="00C74813">
        <w:rPr>
          <w:szCs w:val="16"/>
        </w:rPr>
        <w:t xml:space="preserve">un service d’accès </w:t>
      </w:r>
      <w:r w:rsidR="00E76392">
        <w:rPr>
          <w:szCs w:val="16"/>
        </w:rPr>
        <w:t xml:space="preserve">très </w:t>
      </w:r>
      <w:r w:rsidR="00C74813">
        <w:rPr>
          <w:szCs w:val="16"/>
        </w:rPr>
        <w:t>haut débit à valeur ajoutée.</w:t>
      </w:r>
    </w:p>
    <w:p w14:paraId="491BFFD8" w14:textId="77777777" w:rsidR="00C74813" w:rsidRDefault="00C74813" w:rsidP="00C74813">
      <w:pPr>
        <w:rPr>
          <w:szCs w:val="16"/>
        </w:rPr>
      </w:pPr>
    </w:p>
    <w:p w14:paraId="5232D05E" w14:textId="77777777" w:rsidR="00C74813" w:rsidRDefault="00C74813" w:rsidP="00C74813">
      <w:pPr>
        <w:rPr>
          <w:szCs w:val="16"/>
        </w:rPr>
      </w:pPr>
      <w:r w:rsidRPr="00C74813">
        <w:rPr>
          <w:szCs w:val="16"/>
        </w:rPr>
        <w:t xml:space="preserve">Les présentes Conditions </w:t>
      </w:r>
      <w:r>
        <w:rPr>
          <w:szCs w:val="16"/>
        </w:rPr>
        <w:t>Particulières</w:t>
      </w:r>
      <w:r w:rsidRPr="00C74813">
        <w:rPr>
          <w:szCs w:val="16"/>
        </w:rPr>
        <w:t xml:space="preserve"> ont pour objet de définir les </w:t>
      </w:r>
      <w:r w:rsidR="005A1AFA">
        <w:rPr>
          <w:szCs w:val="16"/>
        </w:rPr>
        <w:t xml:space="preserve">termes et </w:t>
      </w:r>
      <w:r w:rsidRPr="00C74813">
        <w:rPr>
          <w:szCs w:val="16"/>
        </w:rPr>
        <w:t xml:space="preserve">conditions dans lesquels </w:t>
      </w:r>
      <w:r w:rsidR="009613D9">
        <w:rPr>
          <w:szCs w:val="16"/>
        </w:rPr>
        <w:t>le Fournisseur</w:t>
      </w:r>
      <w:r w:rsidR="00133ED7">
        <w:rPr>
          <w:szCs w:val="16"/>
        </w:rPr>
        <w:t xml:space="preserve"> </w:t>
      </w:r>
      <w:r w:rsidRPr="00C74813">
        <w:rPr>
          <w:szCs w:val="16"/>
        </w:rPr>
        <w:t xml:space="preserve">assure </w:t>
      </w:r>
      <w:r w:rsidR="007F55A6">
        <w:rPr>
          <w:szCs w:val="16"/>
        </w:rPr>
        <w:t xml:space="preserve">au </w:t>
      </w:r>
      <w:r w:rsidR="00D7005E">
        <w:rPr>
          <w:szCs w:val="16"/>
        </w:rPr>
        <w:t>titre d’</w:t>
      </w:r>
      <w:r w:rsidR="007F55A6">
        <w:rPr>
          <w:szCs w:val="16"/>
        </w:rPr>
        <w:t xml:space="preserve">une </w:t>
      </w:r>
      <w:r w:rsidR="00D7005E">
        <w:rPr>
          <w:szCs w:val="16"/>
        </w:rPr>
        <w:t xml:space="preserve">obligation de </w:t>
      </w:r>
      <w:r w:rsidR="007F55A6">
        <w:rPr>
          <w:szCs w:val="16"/>
        </w:rPr>
        <w:t>moyens renforcée</w:t>
      </w:r>
      <w:r w:rsidR="00D7005E">
        <w:rPr>
          <w:szCs w:val="16"/>
        </w:rPr>
        <w:t>,</w:t>
      </w:r>
      <w:r w:rsidR="009B12BD">
        <w:rPr>
          <w:szCs w:val="16"/>
        </w:rPr>
        <w:t xml:space="preserve"> </w:t>
      </w:r>
      <w:r w:rsidR="00964C2C">
        <w:rPr>
          <w:szCs w:val="16"/>
        </w:rPr>
        <w:t xml:space="preserve">au </w:t>
      </w:r>
      <w:r w:rsidR="00D7005E">
        <w:rPr>
          <w:szCs w:val="16"/>
        </w:rPr>
        <w:t xml:space="preserve">bénéfice du </w:t>
      </w:r>
      <w:r w:rsidR="00964C2C">
        <w:rPr>
          <w:szCs w:val="16"/>
        </w:rPr>
        <w:t>Client</w:t>
      </w:r>
      <w:r w:rsidR="009B12BD">
        <w:rPr>
          <w:szCs w:val="16"/>
        </w:rPr>
        <w:t>,</w:t>
      </w:r>
      <w:r w:rsidR="00964C2C">
        <w:rPr>
          <w:szCs w:val="16"/>
        </w:rPr>
        <w:t xml:space="preserve"> </w:t>
      </w:r>
      <w:r w:rsidRPr="00C74813">
        <w:rPr>
          <w:szCs w:val="16"/>
        </w:rPr>
        <w:t xml:space="preserve">la fourniture du </w:t>
      </w:r>
      <w:r w:rsidR="005A1AFA">
        <w:rPr>
          <w:szCs w:val="16"/>
        </w:rPr>
        <w:t>S</w:t>
      </w:r>
      <w:r w:rsidR="005A1AFA" w:rsidRPr="00C74813">
        <w:rPr>
          <w:szCs w:val="16"/>
        </w:rPr>
        <w:t>ervice</w:t>
      </w:r>
      <w:r w:rsidRPr="00C74813">
        <w:rPr>
          <w:szCs w:val="16"/>
        </w:rPr>
        <w:t>.</w:t>
      </w:r>
      <w:r w:rsidR="00133ED7">
        <w:rPr>
          <w:szCs w:val="16"/>
        </w:rPr>
        <w:t xml:space="preserve"> Sa </w:t>
      </w:r>
      <w:r w:rsidRPr="00C74813">
        <w:rPr>
          <w:szCs w:val="16"/>
        </w:rPr>
        <w:t xml:space="preserve">fourniture donne lieu à la signature des Conditions Particulières </w:t>
      </w:r>
      <w:r w:rsidR="00BA6697">
        <w:rPr>
          <w:szCs w:val="16"/>
        </w:rPr>
        <w:t>du Service</w:t>
      </w:r>
      <w:r w:rsidRPr="00C74813">
        <w:rPr>
          <w:szCs w:val="16"/>
        </w:rPr>
        <w:t>.</w:t>
      </w:r>
    </w:p>
    <w:p w14:paraId="02708A42" w14:textId="77777777" w:rsidR="00133ED7" w:rsidRDefault="00133ED7" w:rsidP="00F176E3">
      <w:pPr>
        <w:rPr>
          <w:szCs w:val="16"/>
        </w:rPr>
      </w:pPr>
    </w:p>
    <w:p w14:paraId="3274ACDE" w14:textId="77777777" w:rsidR="00F176E3" w:rsidRPr="00393014" w:rsidRDefault="00F176E3" w:rsidP="00393014">
      <w:pPr>
        <w:pStyle w:val="StyleTitre1"/>
      </w:pPr>
      <w:bookmarkStart w:id="3" w:name="_Toc150262724"/>
      <w:r w:rsidRPr="00393014">
        <w:t>DOCUMENTS CONTRACTUELS</w:t>
      </w:r>
      <w:bookmarkEnd w:id="3"/>
    </w:p>
    <w:p w14:paraId="41187E8B" w14:textId="51DA0DA7" w:rsidR="005A1AFA" w:rsidRPr="00D97AE3" w:rsidRDefault="00D97AE3" w:rsidP="005A1AFA">
      <w:pPr>
        <w:rPr>
          <w:szCs w:val="16"/>
        </w:rPr>
      </w:pPr>
      <w:r w:rsidRPr="00D97AE3">
        <w:rPr>
          <w:szCs w:val="16"/>
        </w:rPr>
        <w:t xml:space="preserve">Le contrat « </w:t>
      </w:r>
      <w:r w:rsidR="006371EF">
        <w:rPr>
          <w:szCs w:val="16"/>
        </w:rPr>
        <w:t xml:space="preserve">Ligne </w:t>
      </w:r>
      <w:r w:rsidR="00E76392">
        <w:rPr>
          <w:szCs w:val="16"/>
        </w:rPr>
        <w:t>FTTH</w:t>
      </w:r>
      <w:r w:rsidR="002610F1">
        <w:rPr>
          <w:szCs w:val="16"/>
        </w:rPr>
        <w:t xml:space="preserve"> Active </w:t>
      </w:r>
      <w:r w:rsidRPr="00D97AE3">
        <w:rPr>
          <w:szCs w:val="16"/>
        </w:rPr>
        <w:t>», désigné ci-après « le Contrat » se compose</w:t>
      </w:r>
      <w:r w:rsidR="005A1AFA" w:rsidRPr="005A1AFA">
        <w:rPr>
          <w:szCs w:val="16"/>
        </w:rPr>
        <w:t xml:space="preserve"> </w:t>
      </w:r>
      <w:r w:rsidR="005A1AFA">
        <w:rPr>
          <w:szCs w:val="16"/>
        </w:rPr>
        <w:t>des documents suivants. Etant entendu qu’e</w:t>
      </w:r>
      <w:r w:rsidR="005A1AFA">
        <w:t>n cas de contradiction ou de divergence entre plusieurs documents contractuels, les documents ci-dess</w:t>
      </w:r>
      <w:r w:rsidR="00997D7F">
        <w:t>o</w:t>
      </w:r>
      <w:r w:rsidR="005A1AFA">
        <w:t>us prévalent dans l’ordre suivant </w:t>
      </w:r>
      <w:r w:rsidR="005A1AFA" w:rsidRPr="00D97AE3">
        <w:rPr>
          <w:szCs w:val="16"/>
        </w:rPr>
        <w:t>:</w:t>
      </w:r>
    </w:p>
    <w:p w14:paraId="63BB6652" w14:textId="77777777" w:rsidR="005F29D5" w:rsidRDefault="005F29D5" w:rsidP="005F29D5">
      <w:pPr>
        <w:pStyle w:val="OmniPage1"/>
        <w:numPr>
          <w:ilvl w:val="0"/>
          <w:numId w:val="6"/>
        </w:numPr>
        <w:tabs>
          <w:tab w:val="left" w:pos="0"/>
          <w:tab w:val="right" w:pos="5167"/>
        </w:tabs>
        <w:jc w:val="both"/>
        <w:rPr>
          <w:sz w:val="16"/>
          <w:szCs w:val="16"/>
          <w:lang w:val="fr-FR" w:eastAsia="fr-FR"/>
        </w:rPr>
      </w:pPr>
      <w:r>
        <w:rPr>
          <w:sz w:val="16"/>
          <w:szCs w:val="16"/>
          <w:lang w:val="fr-FR" w:eastAsia="fr-FR"/>
        </w:rPr>
        <w:t xml:space="preserve">les Commandes d’accès </w:t>
      </w:r>
      <w:r w:rsidRPr="00D97AE3">
        <w:rPr>
          <w:sz w:val="16"/>
          <w:szCs w:val="16"/>
          <w:lang w:val="fr-FR" w:eastAsia="fr-FR"/>
        </w:rPr>
        <w:t xml:space="preserve">transmises </w:t>
      </w:r>
      <w:r w:rsidR="007665D7">
        <w:rPr>
          <w:sz w:val="16"/>
          <w:szCs w:val="16"/>
          <w:lang w:val="fr-FR" w:eastAsia="fr-FR"/>
        </w:rPr>
        <w:t>au Fournisseur</w:t>
      </w:r>
      <w:r w:rsidR="00BB4062">
        <w:rPr>
          <w:sz w:val="16"/>
          <w:szCs w:val="16"/>
          <w:lang w:val="fr-FR" w:eastAsia="fr-FR"/>
        </w:rPr>
        <w:t>,</w:t>
      </w:r>
    </w:p>
    <w:p w14:paraId="2751511A" w14:textId="77777777" w:rsidR="005A1AFA" w:rsidRDefault="005A1AFA" w:rsidP="005A1AFA">
      <w:pPr>
        <w:pStyle w:val="OmniPage1"/>
        <w:numPr>
          <w:ilvl w:val="0"/>
          <w:numId w:val="6"/>
        </w:numPr>
        <w:tabs>
          <w:tab w:val="left" w:pos="0"/>
          <w:tab w:val="right" w:pos="5167"/>
        </w:tabs>
        <w:jc w:val="both"/>
        <w:rPr>
          <w:sz w:val="16"/>
          <w:szCs w:val="16"/>
          <w:lang w:val="fr-FR" w:eastAsia="fr-FR"/>
        </w:rPr>
      </w:pPr>
      <w:r>
        <w:rPr>
          <w:sz w:val="16"/>
          <w:szCs w:val="16"/>
          <w:lang w:val="fr-FR" w:eastAsia="fr-FR"/>
        </w:rPr>
        <w:t>l</w:t>
      </w:r>
      <w:r w:rsidRPr="00D97AE3">
        <w:rPr>
          <w:sz w:val="16"/>
          <w:szCs w:val="16"/>
          <w:lang w:val="fr-FR" w:eastAsia="fr-FR"/>
        </w:rPr>
        <w:t xml:space="preserve">es présentes Conditions </w:t>
      </w:r>
      <w:r>
        <w:rPr>
          <w:sz w:val="16"/>
          <w:szCs w:val="16"/>
          <w:lang w:val="fr-FR" w:eastAsia="fr-FR"/>
        </w:rPr>
        <w:t>Particulières,</w:t>
      </w:r>
    </w:p>
    <w:p w14:paraId="75A108D7" w14:textId="77777777" w:rsidR="005A1AFA" w:rsidRDefault="005A1AFA" w:rsidP="005A1AFA">
      <w:pPr>
        <w:pStyle w:val="OmniPage1"/>
        <w:numPr>
          <w:ilvl w:val="0"/>
          <w:numId w:val="6"/>
        </w:numPr>
        <w:tabs>
          <w:tab w:val="left" w:pos="0"/>
          <w:tab w:val="right" w:pos="5167"/>
        </w:tabs>
        <w:jc w:val="both"/>
        <w:rPr>
          <w:sz w:val="16"/>
          <w:szCs w:val="16"/>
          <w:lang w:val="fr-FR" w:eastAsia="fr-FR"/>
        </w:rPr>
      </w:pPr>
      <w:r>
        <w:rPr>
          <w:sz w:val="16"/>
          <w:szCs w:val="16"/>
          <w:lang w:val="fr-FR" w:eastAsia="fr-FR"/>
        </w:rPr>
        <w:t>les Annexes aux Conditions Particulières.</w:t>
      </w:r>
    </w:p>
    <w:p w14:paraId="3DDD1B5D" w14:textId="26F28795" w:rsidR="006371EF" w:rsidRDefault="00BB4062" w:rsidP="00D97AE3">
      <w:pPr>
        <w:pStyle w:val="OmniPage1"/>
        <w:numPr>
          <w:ilvl w:val="0"/>
          <w:numId w:val="6"/>
        </w:numPr>
        <w:tabs>
          <w:tab w:val="left" w:pos="0"/>
          <w:tab w:val="right" w:pos="5167"/>
        </w:tabs>
        <w:jc w:val="both"/>
        <w:rPr>
          <w:sz w:val="16"/>
          <w:szCs w:val="16"/>
          <w:lang w:val="fr-FR" w:eastAsia="fr-FR"/>
        </w:rPr>
      </w:pPr>
      <w:r>
        <w:rPr>
          <w:sz w:val="16"/>
          <w:szCs w:val="16"/>
          <w:lang w:val="fr-FR" w:eastAsia="fr-FR"/>
        </w:rPr>
        <w:t xml:space="preserve">Les Conditions Générales de </w:t>
      </w:r>
      <w:r w:rsidR="005A1AFA">
        <w:rPr>
          <w:sz w:val="16"/>
          <w:szCs w:val="16"/>
          <w:lang w:val="fr-FR" w:eastAsia="fr-FR"/>
        </w:rPr>
        <w:t xml:space="preserve">la </w:t>
      </w:r>
      <w:r w:rsidR="006371EF" w:rsidRPr="006371EF">
        <w:rPr>
          <w:sz w:val="16"/>
          <w:szCs w:val="16"/>
          <w:lang w:val="fr-FR" w:eastAsia="fr-FR"/>
        </w:rPr>
        <w:t xml:space="preserve">Convention Cadre </w:t>
      </w:r>
      <w:r>
        <w:rPr>
          <w:sz w:val="16"/>
          <w:szCs w:val="16"/>
          <w:lang w:val="fr-FR" w:eastAsia="fr-FR"/>
        </w:rPr>
        <w:t xml:space="preserve">d’approvisionnement de </w:t>
      </w:r>
      <w:r w:rsidR="006371EF" w:rsidRPr="006371EF">
        <w:rPr>
          <w:sz w:val="16"/>
          <w:szCs w:val="16"/>
          <w:lang w:val="fr-FR" w:eastAsia="fr-FR"/>
        </w:rPr>
        <w:t xml:space="preserve">Services </w:t>
      </w:r>
      <w:r>
        <w:rPr>
          <w:sz w:val="16"/>
          <w:szCs w:val="16"/>
          <w:lang w:val="fr-FR" w:eastAsia="fr-FR"/>
        </w:rPr>
        <w:t xml:space="preserve">de télécommunications </w:t>
      </w:r>
      <w:r w:rsidR="00BA6697">
        <w:rPr>
          <w:sz w:val="16"/>
          <w:szCs w:val="16"/>
          <w:lang w:val="fr-FR" w:eastAsia="fr-FR"/>
        </w:rPr>
        <w:t>du Fournisseur</w:t>
      </w:r>
      <w:r w:rsidR="00E15984">
        <w:rPr>
          <w:sz w:val="16"/>
          <w:szCs w:val="16"/>
          <w:lang w:val="fr-FR" w:eastAsia="fr-FR"/>
        </w:rPr>
        <w:t xml:space="preserve"> et ses Annexes</w:t>
      </w:r>
      <w:r>
        <w:rPr>
          <w:sz w:val="16"/>
          <w:szCs w:val="16"/>
          <w:lang w:val="fr-FR" w:eastAsia="fr-FR"/>
        </w:rPr>
        <w:t>.</w:t>
      </w:r>
    </w:p>
    <w:p w14:paraId="666F90FB" w14:textId="77777777" w:rsidR="006371EF" w:rsidRDefault="006371EF" w:rsidP="006371EF">
      <w:pPr>
        <w:pStyle w:val="OmniPage1"/>
        <w:tabs>
          <w:tab w:val="left" w:pos="0"/>
          <w:tab w:val="right" w:pos="5167"/>
        </w:tabs>
        <w:jc w:val="both"/>
        <w:rPr>
          <w:sz w:val="16"/>
          <w:szCs w:val="16"/>
          <w:lang w:val="fr-FR" w:eastAsia="fr-FR"/>
        </w:rPr>
      </w:pPr>
    </w:p>
    <w:p w14:paraId="6119D0FD" w14:textId="77777777" w:rsidR="002F3E03" w:rsidRDefault="006371EF" w:rsidP="006371EF">
      <w:pPr>
        <w:pStyle w:val="OmniPage1"/>
        <w:tabs>
          <w:tab w:val="left" w:pos="0"/>
          <w:tab w:val="right" w:pos="5167"/>
        </w:tabs>
        <w:jc w:val="both"/>
        <w:rPr>
          <w:sz w:val="16"/>
          <w:szCs w:val="16"/>
          <w:lang w:val="fr-FR" w:eastAsia="fr-FR"/>
        </w:rPr>
      </w:pPr>
      <w:r>
        <w:rPr>
          <w:sz w:val="16"/>
          <w:szCs w:val="16"/>
          <w:lang w:val="fr-FR" w:eastAsia="fr-FR"/>
        </w:rPr>
        <w:t xml:space="preserve">Les Annexes aux Conditions Particulières </w:t>
      </w:r>
      <w:r w:rsidR="002F3E03">
        <w:rPr>
          <w:sz w:val="16"/>
          <w:szCs w:val="16"/>
          <w:lang w:val="fr-FR" w:eastAsia="fr-FR"/>
        </w:rPr>
        <w:t>se décomposent comme suit :</w:t>
      </w:r>
    </w:p>
    <w:p w14:paraId="623D4D12" w14:textId="354AB156" w:rsidR="005B0D6D" w:rsidRDefault="005B0D6D" w:rsidP="005B0D6D">
      <w:pPr>
        <w:pStyle w:val="OmniPage1"/>
        <w:numPr>
          <w:ilvl w:val="0"/>
          <w:numId w:val="6"/>
        </w:numPr>
        <w:tabs>
          <w:tab w:val="left" w:pos="0"/>
          <w:tab w:val="right" w:pos="5167"/>
        </w:tabs>
        <w:jc w:val="both"/>
        <w:rPr>
          <w:sz w:val="16"/>
          <w:szCs w:val="16"/>
          <w:lang w:val="fr-FR" w:eastAsia="fr-FR"/>
        </w:rPr>
      </w:pPr>
      <w:r>
        <w:rPr>
          <w:sz w:val="16"/>
          <w:szCs w:val="16"/>
          <w:lang w:val="fr-FR" w:eastAsia="fr-FR"/>
        </w:rPr>
        <w:t>L’Annexe 1 – Tarifs – Ligne FTTH Active</w:t>
      </w:r>
    </w:p>
    <w:p w14:paraId="5137EE09" w14:textId="52CE8AF7" w:rsidR="00B765FB" w:rsidRDefault="005B0D6D" w:rsidP="001A2E62">
      <w:pPr>
        <w:pStyle w:val="OmniPage1"/>
        <w:numPr>
          <w:ilvl w:val="0"/>
          <w:numId w:val="6"/>
        </w:numPr>
        <w:tabs>
          <w:tab w:val="left" w:pos="0"/>
          <w:tab w:val="right" w:pos="5167"/>
        </w:tabs>
        <w:jc w:val="both"/>
        <w:rPr>
          <w:sz w:val="16"/>
          <w:szCs w:val="16"/>
          <w:lang w:val="fr-FR" w:eastAsia="fr-FR"/>
        </w:rPr>
      </w:pPr>
      <w:r>
        <w:rPr>
          <w:sz w:val="16"/>
          <w:szCs w:val="16"/>
          <w:lang w:val="fr-FR" w:eastAsia="fr-FR"/>
        </w:rPr>
        <w:t>L’Annexe 1.A – Pénalités</w:t>
      </w:r>
    </w:p>
    <w:p w14:paraId="7B9BA0BE" w14:textId="5827463E" w:rsidR="00474EE9" w:rsidRPr="00474EE9" w:rsidRDefault="00474EE9" w:rsidP="00474EE9">
      <w:pPr>
        <w:pStyle w:val="Paragraphedeliste"/>
        <w:numPr>
          <w:ilvl w:val="0"/>
          <w:numId w:val="6"/>
        </w:numPr>
        <w:contextualSpacing w:val="0"/>
        <w:rPr>
          <w:szCs w:val="16"/>
        </w:rPr>
      </w:pPr>
      <w:r>
        <w:rPr>
          <w:szCs w:val="16"/>
        </w:rPr>
        <w:t xml:space="preserve">L’Annexe 1.B </w:t>
      </w:r>
      <w:r w:rsidRPr="00474EE9">
        <w:rPr>
          <w:szCs w:val="16"/>
        </w:rPr>
        <w:t>- Bordereau travaux complémentaires sur domaine privé</w:t>
      </w:r>
    </w:p>
    <w:p w14:paraId="18078EF2" w14:textId="405BD4AE" w:rsidR="005B0D6D" w:rsidRDefault="005B0D6D" w:rsidP="005B0D6D">
      <w:pPr>
        <w:pStyle w:val="OmniPage1"/>
        <w:numPr>
          <w:ilvl w:val="0"/>
          <w:numId w:val="6"/>
        </w:numPr>
        <w:tabs>
          <w:tab w:val="left" w:pos="0"/>
          <w:tab w:val="right" w:pos="5167"/>
        </w:tabs>
        <w:jc w:val="both"/>
        <w:rPr>
          <w:sz w:val="16"/>
          <w:szCs w:val="16"/>
          <w:lang w:val="fr-FR" w:eastAsia="fr-FR"/>
        </w:rPr>
      </w:pPr>
      <w:r>
        <w:rPr>
          <w:sz w:val="16"/>
          <w:szCs w:val="16"/>
          <w:lang w:val="fr-FR" w:eastAsia="fr-FR"/>
        </w:rPr>
        <w:t>L’Annexe 2.A – Spécifications Techniques d’Accès au Service Ligne FTTH Active</w:t>
      </w:r>
      <w:r w:rsidR="004120B6">
        <w:rPr>
          <w:sz w:val="16"/>
          <w:szCs w:val="16"/>
          <w:lang w:val="fr-FR" w:eastAsia="fr-FR"/>
        </w:rPr>
        <w:t xml:space="preserve"> type d’Accès</w:t>
      </w:r>
      <w:r>
        <w:rPr>
          <w:sz w:val="16"/>
          <w:szCs w:val="16"/>
          <w:lang w:val="fr-FR" w:eastAsia="fr-FR"/>
        </w:rPr>
        <w:t xml:space="preserve"> GP </w:t>
      </w:r>
    </w:p>
    <w:p w14:paraId="5F2DEA32" w14:textId="480ED077" w:rsidR="0092374B" w:rsidRDefault="005B0D6D" w:rsidP="0092374B">
      <w:pPr>
        <w:pStyle w:val="OmniPage1"/>
        <w:numPr>
          <w:ilvl w:val="0"/>
          <w:numId w:val="6"/>
        </w:numPr>
        <w:tabs>
          <w:tab w:val="left" w:pos="0"/>
          <w:tab w:val="right" w:pos="5167"/>
        </w:tabs>
        <w:jc w:val="both"/>
        <w:rPr>
          <w:sz w:val="16"/>
          <w:szCs w:val="16"/>
          <w:lang w:val="fr-FR" w:eastAsia="fr-FR"/>
        </w:rPr>
      </w:pPr>
      <w:r>
        <w:rPr>
          <w:sz w:val="16"/>
          <w:szCs w:val="16"/>
          <w:lang w:val="fr-FR" w:eastAsia="fr-FR"/>
        </w:rPr>
        <w:t>L’</w:t>
      </w:r>
      <w:r w:rsidR="00060B3A">
        <w:rPr>
          <w:sz w:val="16"/>
          <w:szCs w:val="16"/>
          <w:lang w:val="fr-FR" w:eastAsia="fr-FR"/>
        </w:rPr>
        <w:t>A</w:t>
      </w:r>
      <w:r>
        <w:rPr>
          <w:sz w:val="16"/>
          <w:szCs w:val="16"/>
          <w:lang w:val="fr-FR" w:eastAsia="fr-FR"/>
        </w:rPr>
        <w:t>nnexe 2.B – Spécifications Techniques d’Accès au Service Ligne FTTH Active</w:t>
      </w:r>
      <w:r w:rsidR="004120B6">
        <w:rPr>
          <w:sz w:val="16"/>
          <w:szCs w:val="16"/>
          <w:lang w:val="fr-FR" w:eastAsia="fr-FR"/>
        </w:rPr>
        <w:t xml:space="preserve"> type d’Accès</w:t>
      </w:r>
      <w:r w:rsidR="00BA228E">
        <w:rPr>
          <w:sz w:val="16"/>
          <w:szCs w:val="16"/>
          <w:lang w:val="fr-FR" w:eastAsia="fr-FR"/>
        </w:rPr>
        <w:t xml:space="preserve"> </w:t>
      </w:r>
      <w:r>
        <w:rPr>
          <w:sz w:val="16"/>
          <w:szCs w:val="16"/>
          <w:lang w:val="fr-FR" w:eastAsia="fr-FR"/>
        </w:rPr>
        <w:t>PRO</w:t>
      </w:r>
    </w:p>
    <w:p w14:paraId="5DFEFD3B" w14:textId="7DE88755" w:rsidR="008E04B5" w:rsidRDefault="008E04B5" w:rsidP="0092374B">
      <w:pPr>
        <w:pStyle w:val="OmniPage1"/>
        <w:numPr>
          <w:ilvl w:val="0"/>
          <w:numId w:val="6"/>
        </w:numPr>
        <w:tabs>
          <w:tab w:val="left" w:pos="0"/>
          <w:tab w:val="right" w:pos="5167"/>
        </w:tabs>
        <w:jc w:val="both"/>
        <w:rPr>
          <w:sz w:val="16"/>
          <w:szCs w:val="16"/>
          <w:lang w:val="fr-FR" w:eastAsia="fr-FR"/>
        </w:rPr>
      </w:pPr>
      <w:r w:rsidRPr="0092374B">
        <w:rPr>
          <w:sz w:val="16"/>
          <w:szCs w:val="16"/>
          <w:lang w:val="fr-FR" w:eastAsia="fr-FR"/>
        </w:rPr>
        <w:t>L’Annexe 3 – Bon de commande Porte de Livraison</w:t>
      </w:r>
    </w:p>
    <w:p w14:paraId="17B8A067" w14:textId="570A18F6" w:rsidR="0092374B" w:rsidRDefault="0092374B" w:rsidP="0092374B">
      <w:pPr>
        <w:pStyle w:val="OmniPage1"/>
        <w:numPr>
          <w:ilvl w:val="0"/>
          <w:numId w:val="6"/>
        </w:numPr>
        <w:tabs>
          <w:tab w:val="left" w:pos="0"/>
          <w:tab w:val="right" w:pos="5167"/>
        </w:tabs>
        <w:jc w:val="both"/>
        <w:rPr>
          <w:sz w:val="16"/>
          <w:szCs w:val="16"/>
          <w:lang w:val="fr-FR" w:eastAsia="fr-FR"/>
        </w:rPr>
      </w:pPr>
      <w:r>
        <w:rPr>
          <w:sz w:val="16"/>
          <w:szCs w:val="16"/>
          <w:lang w:val="fr-FR" w:eastAsia="fr-FR"/>
        </w:rPr>
        <w:t>L’Annexe 4 – Liste des Mandantes</w:t>
      </w:r>
    </w:p>
    <w:p w14:paraId="272A4E14" w14:textId="61DDE9D2" w:rsidR="00B765FB" w:rsidRDefault="00B765FB" w:rsidP="0092374B">
      <w:pPr>
        <w:pStyle w:val="OmniPage1"/>
        <w:tabs>
          <w:tab w:val="left" w:pos="0"/>
          <w:tab w:val="right" w:pos="5167"/>
        </w:tabs>
        <w:ind w:left="360"/>
        <w:jc w:val="both"/>
        <w:rPr>
          <w:sz w:val="16"/>
          <w:szCs w:val="16"/>
          <w:lang w:val="fr-FR" w:eastAsia="fr-FR"/>
        </w:rPr>
      </w:pPr>
    </w:p>
    <w:p w14:paraId="2AC318AD" w14:textId="1BAF5795" w:rsidR="006371EF" w:rsidRDefault="00275FBC" w:rsidP="006371EF">
      <w:pPr>
        <w:pStyle w:val="OmniPage1"/>
        <w:tabs>
          <w:tab w:val="left" w:pos="0"/>
          <w:tab w:val="right" w:pos="5167"/>
        </w:tabs>
        <w:jc w:val="both"/>
        <w:rPr>
          <w:sz w:val="16"/>
          <w:szCs w:val="16"/>
          <w:lang w:val="fr-FR" w:eastAsia="fr-FR"/>
        </w:rPr>
      </w:pPr>
      <w:r>
        <w:rPr>
          <w:sz w:val="16"/>
          <w:szCs w:val="16"/>
          <w:lang w:val="fr-FR" w:eastAsia="fr-FR"/>
        </w:rPr>
        <w:t>Les Annexes suivantes ne sont pas modifiables unilatéralement, sauf dans les conditions prévues dans le présent Contrat :</w:t>
      </w:r>
    </w:p>
    <w:p w14:paraId="51AEEF55" w14:textId="236F4BA8" w:rsidR="00275FBC" w:rsidRDefault="00275FBC" w:rsidP="00275FBC">
      <w:pPr>
        <w:pStyle w:val="OmniPage1"/>
        <w:numPr>
          <w:ilvl w:val="0"/>
          <w:numId w:val="6"/>
        </w:numPr>
        <w:tabs>
          <w:tab w:val="left" w:pos="0"/>
          <w:tab w:val="right" w:pos="5167"/>
        </w:tabs>
        <w:jc w:val="both"/>
        <w:rPr>
          <w:sz w:val="16"/>
          <w:szCs w:val="16"/>
          <w:lang w:val="fr-FR" w:eastAsia="fr-FR"/>
        </w:rPr>
      </w:pPr>
      <w:r>
        <w:rPr>
          <w:sz w:val="16"/>
          <w:szCs w:val="16"/>
          <w:lang w:val="fr-FR" w:eastAsia="fr-FR"/>
        </w:rPr>
        <w:t xml:space="preserve">L’Annexe 1 – Tarifs – Ligne </w:t>
      </w:r>
      <w:r w:rsidR="004120B6">
        <w:rPr>
          <w:sz w:val="16"/>
          <w:szCs w:val="16"/>
          <w:lang w:val="fr-FR" w:eastAsia="fr-FR"/>
        </w:rPr>
        <w:t>FTTH Active</w:t>
      </w:r>
    </w:p>
    <w:p w14:paraId="3F206885" w14:textId="77777777" w:rsidR="00275FBC" w:rsidRDefault="00275FBC" w:rsidP="00275FBC">
      <w:pPr>
        <w:pStyle w:val="OmniPage1"/>
        <w:numPr>
          <w:ilvl w:val="0"/>
          <w:numId w:val="6"/>
        </w:numPr>
        <w:tabs>
          <w:tab w:val="left" w:pos="0"/>
          <w:tab w:val="right" w:pos="5167"/>
        </w:tabs>
        <w:jc w:val="both"/>
        <w:rPr>
          <w:sz w:val="16"/>
          <w:szCs w:val="16"/>
          <w:lang w:val="fr-FR" w:eastAsia="fr-FR"/>
        </w:rPr>
      </w:pPr>
      <w:r>
        <w:rPr>
          <w:sz w:val="16"/>
          <w:szCs w:val="16"/>
          <w:lang w:val="fr-FR" w:eastAsia="fr-FR"/>
        </w:rPr>
        <w:t>L’Annexe 1.A – Pénalités</w:t>
      </w:r>
    </w:p>
    <w:p w14:paraId="7A3FFF67" w14:textId="2C2A2486" w:rsidR="00474EE9" w:rsidRPr="00474EE9" w:rsidRDefault="00474EE9" w:rsidP="00474EE9">
      <w:pPr>
        <w:pStyle w:val="Paragraphedeliste"/>
        <w:numPr>
          <w:ilvl w:val="0"/>
          <w:numId w:val="6"/>
        </w:numPr>
        <w:contextualSpacing w:val="0"/>
        <w:rPr>
          <w:szCs w:val="16"/>
        </w:rPr>
      </w:pPr>
      <w:r>
        <w:rPr>
          <w:szCs w:val="16"/>
        </w:rPr>
        <w:t xml:space="preserve">L’Annexe 1.B </w:t>
      </w:r>
      <w:r w:rsidRPr="00474EE9">
        <w:rPr>
          <w:szCs w:val="16"/>
        </w:rPr>
        <w:t>- Bordereau travaux complémentaires sur domaine privé</w:t>
      </w:r>
    </w:p>
    <w:p w14:paraId="30BFA9F3" w14:textId="77777777" w:rsidR="00275FBC" w:rsidRDefault="00275FBC" w:rsidP="006371EF">
      <w:pPr>
        <w:pStyle w:val="OmniPage1"/>
        <w:tabs>
          <w:tab w:val="left" w:pos="0"/>
          <w:tab w:val="right" w:pos="5167"/>
        </w:tabs>
        <w:jc w:val="both"/>
        <w:rPr>
          <w:sz w:val="16"/>
          <w:szCs w:val="16"/>
          <w:lang w:val="fr-FR" w:eastAsia="fr-FR"/>
        </w:rPr>
      </w:pPr>
    </w:p>
    <w:p w14:paraId="01167496" w14:textId="67145EF0" w:rsidR="00275FBC" w:rsidRDefault="00275FBC" w:rsidP="006371EF">
      <w:pPr>
        <w:pStyle w:val="OmniPage1"/>
        <w:tabs>
          <w:tab w:val="left" w:pos="0"/>
          <w:tab w:val="right" w:pos="5167"/>
        </w:tabs>
        <w:jc w:val="both"/>
        <w:rPr>
          <w:sz w:val="16"/>
          <w:szCs w:val="16"/>
          <w:lang w:val="fr-FR" w:eastAsia="fr-FR"/>
        </w:rPr>
      </w:pPr>
      <w:r>
        <w:rPr>
          <w:sz w:val="16"/>
          <w:szCs w:val="16"/>
          <w:lang w:val="fr-FR" w:eastAsia="fr-FR"/>
        </w:rPr>
        <w:t xml:space="preserve">Les Annexes 2 à 4 sont modifiables unilatéralement par le Fournisseur, dans les conditions d’information préalables décrites au présent Contrat. </w:t>
      </w:r>
    </w:p>
    <w:p w14:paraId="16756731" w14:textId="77777777" w:rsidR="00275FBC" w:rsidRDefault="00275FBC" w:rsidP="006371EF">
      <w:pPr>
        <w:pStyle w:val="OmniPage1"/>
        <w:tabs>
          <w:tab w:val="left" w:pos="0"/>
          <w:tab w:val="right" w:pos="5167"/>
        </w:tabs>
        <w:jc w:val="both"/>
        <w:rPr>
          <w:sz w:val="16"/>
          <w:szCs w:val="16"/>
          <w:lang w:val="fr-FR" w:eastAsia="fr-FR"/>
        </w:rPr>
      </w:pPr>
    </w:p>
    <w:p w14:paraId="19966B95" w14:textId="77777777" w:rsidR="00964C2C" w:rsidRPr="00D97AE3" w:rsidRDefault="00D97AE3">
      <w:pPr>
        <w:pStyle w:val="OmniPage1"/>
        <w:tabs>
          <w:tab w:val="left" w:pos="0"/>
          <w:tab w:val="right" w:pos="5167"/>
        </w:tabs>
        <w:jc w:val="both"/>
        <w:rPr>
          <w:sz w:val="16"/>
          <w:szCs w:val="16"/>
          <w:lang w:val="fr-FR" w:eastAsia="fr-FR"/>
        </w:rPr>
      </w:pPr>
      <w:r>
        <w:rPr>
          <w:sz w:val="16"/>
          <w:szCs w:val="16"/>
          <w:lang w:val="fr-FR" w:eastAsia="fr-FR"/>
        </w:rPr>
        <w:t>Le Contrat exprime l’intégralité des obligations des Parties, il annule et remplace tous accords écrits et verbaux,</w:t>
      </w:r>
      <w:r w:rsidR="002F3E03">
        <w:rPr>
          <w:sz w:val="16"/>
          <w:szCs w:val="16"/>
          <w:lang w:val="fr-FR" w:eastAsia="fr-FR"/>
        </w:rPr>
        <w:t xml:space="preserve"> </w:t>
      </w:r>
      <w:r>
        <w:rPr>
          <w:sz w:val="16"/>
          <w:szCs w:val="16"/>
          <w:lang w:val="fr-FR" w:eastAsia="fr-FR"/>
        </w:rPr>
        <w:t>toutes correspondances ou propositions entre lesdites Parties, antérieurs à sa signature et ayant le même objet.</w:t>
      </w:r>
      <w:r w:rsidR="00CF1B4D">
        <w:rPr>
          <w:sz w:val="16"/>
          <w:szCs w:val="16"/>
          <w:lang w:val="fr-FR" w:eastAsia="fr-FR"/>
        </w:rPr>
        <w:t xml:space="preserve"> </w:t>
      </w:r>
    </w:p>
    <w:p w14:paraId="3AA9F897" w14:textId="77777777" w:rsidR="00343649" w:rsidRPr="00F176E3" w:rsidRDefault="00343649" w:rsidP="00F176E3"/>
    <w:p w14:paraId="25B27AF2" w14:textId="77777777" w:rsidR="00387C7E" w:rsidRPr="00393014" w:rsidRDefault="00387C7E" w:rsidP="00393014">
      <w:pPr>
        <w:pStyle w:val="StyleTitre1"/>
      </w:pPr>
      <w:bookmarkStart w:id="4" w:name="_Toc150262725"/>
      <w:r w:rsidRPr="00393014">
        <w:t>DESCRIPTION DU SERVICE</w:t>
      </w:r>
      <w:bookmarkEnd w:id="4"/>
    </w:p>
    <w:p w14:paraId="4B235155" w14:textId="7FB623C6" w:rsidR="00387C7E" w:rsidRDefault="00387C7E" w:rsidP="00393014">
      <w:r>
        <w:t xml:space="preserve">Les présentes Conditions Particulières s’appliquent au service Ligne </w:t>
      </w:r>
      <w:r w:rsidR="00E76392">
        <w:t>FTTH</w:t>
      </w:r>
      <w:r w:rsidR="00621D44">
        <w:t xml:space="preserve"> A</w:t>
      </w:r>
      <w:r w:rsidR="002610F1">
        <w:t>ctive</w:t>
      </w:r>
      <w:r>
        <w:t>.</w:t>
      </w:r>
    </w:p>
    <w:p w14:paraId="24F4054B" w14:textId="77777777" w:rsidR="00E921CD" w:rsidRDefault="00E921CD">
      <w:pPr>
        <w:rPr>
          <w:szCs w:val="16"/>
        </w:rPr>
      </w:pPr>
    </w:p>
    <w:p w14:paraId="75720361" w14:textId="77777777" w:rsidR="00387C7E" w:rsidRDefault="00E073E1">
      <w:pPr>
        <w:rPr>
          <w:szCs w:val="16"/>
        </w:rPr>
      </w:pPr>
      <w:r>
        <w:rPr>
          <w:szCs w:val="16"/>
        </w:rPr>
        <w:t xml:space="preserve">Le Service est constitué de plusieurs </w:t>
      </w:r>
      <w:r w:rsidR="004A2A1A">
        <w:rPr>
          <w:szCs w:val="16"/>
        </w:rPr>
        <w:t>composantes :</w:t>
      </w:r>
    </w:p>
    <w:p w14:paraId="31F8A876" w14:textId="2DCC7FB2" w:rsidR="00CE5237" w:rsidRPr="00CE5237" w:rsidRDefault="00CE5237" w:rsidP="004251AF">
      <w:pPr>
        <w:pStyle w:val="Paragraphedeliste"/>
        <w:numPr>
          <w:ilvl w:val="0"/>
          <w:numId w:val="11"/>
        </w:numPr>
        <w:rPr>
          <w:szCs w:val="16"/>
        </w:rPr>
      </w:pPr>
      <w:r w:rsidRPr="00CE5237">
        <w:rPr>
          <w:szCs w:val="16"/>
        </w:rPr>
        <w:t>Une composante Raccordement</w:t>
      </w:r>
      <w:r w:rsidR="00B20A08">
        <w:rPr>
          <w:szCs w:val="16"/>
        </w:rPr>
        <w:t xml:space="preserve"> </w:t>
      </w:r>
      <w:r w:rsidRPr="00CE5237">
        <w:rPr>
          <w:szCs w:val="16"/>
        </w:rPr>
        <w:t xml:space="preserve">qui permet de raccorder un Local FTTH au </w:t>
      </w:r>
      <w:r w:rsidR="00D90C3F">
        <w:rPr>
          <w:szCs w:val="16"/>
        </w:rPr>
        <w:t>R</w:t>
      </w:r>
      <w:r w:rsidRPr="00CE5237">
        <w:rPr>
          <w:szCs w:val="16"/>
        </w:rPr>
        <w:t>éseau FTTH,</w:t>
      </w:r>
    </w:p>
    <w:p w14:paraId="2B637309" w14:textId="50A700C8" w:rsidR="00CE5237" w:rsidRPr="00CE5237" w:rsidRDefault="00CE5237" w:rsidP="004251AF">
      <w:pPr>
        <w:pStyle w:val="Paragraphedeliste"/>
        <w:numPr>
          <w:ilvl w:val="0"/>
          <w:numId w:val="11"/>
        </w:numPr>
        <w:rPr>
          <w:szCs w:val="16"/>
        </w:rPr>
      </w:pPr>
      <w:r w:rsidRPr="00CE5237">
        <w:rPr>
          <w:szCs w:val="16"/>
        </w:rPr>
        <w:t xml:space="preserve">Une composante Accès qui consiste en </w:t>
      </w:r>
      <w:r w:rsidR="0025223C">
        <w:rPr>
          <w:szCs w:val="16"/>
        </w:rPr>
        <w:t>la pose d</w:t>
      </w:r>
      <w:r w:rsidR="0052146D">
        <w:rPr>
          <w:szCs w:val="16"/>
        </w:rPr>
        <w:t>u PT</w:t>
      </w:r>
      <w:r w:rsidR="0025223C">
        <w:rPr>
          <w:szCs w:val="16"/>
        </w:rPr>
        <w:t xml:space="preserve"> chez l’Abonné</w:t>
      </w:r>
      <w:r w:rsidR="00B5755A">
        <w:rPr>
          <w:szCs w:val="16"/>
        </w:rPr>
        <w:t>,</w:t>
      </w:r>
      <w:r w:rsidR="0052146D">
        <w:rPr>
          <w:szCs w:val="16"/>
        </w:rPr>
        <w:t xml:space="preserve"> </w:t>
      </w:r>
      <w:r w:rsidRPr="00CE5237">
        <w:rPr>
          <w:szCs w:val="16"/>
        </w:rPr>
        <w:t>l’activation d’une Ligne FTTH</w:t>
      </w:r>
      <w:r w:rsidR="007D7F62">
        <w:rPr>
          <w:szCs w:val="16"/>
        </w:rPr>
        <w:t>,</w:t>
      </w:r>
      <w:r w:rsidRPr="00CE5237">
        <w:rPr>
          <w:szCs w:val="16"/>
        </w:rPr>
        <w:t xml:space="preserve"> </w:t>
      </w:r>
      <w:r w:rsidR="00B20A08">
        <w:rPr>
          <w:szCs w:val="16"/>
        </w:rPr>
        <w:t>le trans</w:t>
      </w:r>
      <w:r w:rsidR="0052263A">
        <w:rPr>
          <w:szCs w:val="16"/>
        </w:rPr>
        <w:t>p</w:t>
      </w:r>
      <w:r w:rsidR="00B20A08">
        <w:rPr>
          <w:szCs w:val="16"/>
        </w:rPr>
        <w:t xml:space="preserve">ort des services </w:t>
      </w:r>
      <w:r w:rsidR="00B20A08">
        <w:rPr>
          <w:szCs w:val="16"/>
        </w:rPr>
        <w:t xml:space="preserve">du Client </w:t>
      </w:r>
      <w:r w:rsidRPr="00CE5237">
        <w:rPr>
          <w:szCs w:val="16"/>
        </w:rPr>
        <w:t>depuis le Local FTTH de l’Abonné jusqu’à la Porte de Livraison,</w:t>
      </w:r>
    </w:p>
    <w:p w14:paraId="2140F4A4" w14:textId="77777777" w:rsidR="00CE5237" w:rsidRPr="00CE5237" w:rsidRDefault="00CE5237" w:rsidP="004251AF">
      <w:pPr>
        <w:pStyle w:val="Paragraphedeliste"/>
        <w:numPr>
          <w:ilvl w:val="0"/>
          <w:numId w:val="11"/>
        </w:numPr>
        <w:rPr>
          <w:szCs w:val="16"/>
        </w:rPr>
      </w:pPr>
      <w:r w:rsidRPr="00CE5237">
        <w:rPr>
          <w:szCs w:val="16"/>
        </w:rPr>
        <w:t xml:space="preserve">Une composante Collecte qui consiste en la souscription d’une bande passante entre le Local FTTH de l’Abonné et la Porte de livraison </w:t>
      </w:r>
    </w:p>
    <w:p w14:paraId="53F5FF49" w14:textId="09876888" w:rsidR="00CE5237" w:rsidRPr="00CE5237" w:rsidRDefault="00CE5237" w:rsidP="004251AF">
      <w:pPr>
        <w:pStyle w:val="Paragraphedeliste"/>
        <w:numPr>
          <w:ilvl w:val="0"/>
          <w:numId w:val="11"/>
        </w:numPr>
        <w:rPr>
          <w:szCs w:val="16"/>
        </w:rPr>
      </w:pPr>
      <w:r w:rsidRPr="00CE5237">
        <w:rPr>
          <w:szCs w:val="16"/>
        </w:rPr>
        <w:t xml:space="preserve">Une composante Porte de Livraison qui correspond à la mise en place de l'interconnexion </w:t>
      </w:r>
      <w:r w:rsidR="00B93E3E">
        <w:rPr>
          <w:szCs w:val="16"/>
        </w:rPr>
        <w:t>avec le réseau</w:t>
      </w:r>
      <w:r w:rsidRPr="00CE5237">
        <w:rPr>
          <w:szCs w:val="16"/>
        </w:rPr>
        <w:t xml:space="preserve"> du Client pour la livraison des lignes FTTH actives</w:t>
      </w:r>
      <w:r w:rsidR="00BB4062">
        <w:rPr>
          <w:szCs w:val="16"/>
        </w:rPr>
        <w:t>,</w:t>
      </w:r>
      <w:r w:rsidRPr="00CE5237">
        <w:rPr>
          <w:szCs w:val="16"/>
        </w:rPr>
        <w:t xml:space="preserve"> </w:t>
      </w:r>
    </w:p>
    <w:p w14:paraId="1F4F66D8" w14:textId="77777777" w:rsidR="00CE5237" w:rsidRDefault="00CE5237" w:rsidP="004251AF">
      <w:pPr>
        <w:pStyle w:val="Paragraphedeliste"/>
        <w:numPr>
          <w:ilvl w:val="0"/>
          <w:numId w:val="11"/>
        </w:numPr>
        <w:rPr>
          <w:szCs w:val="16"/>
        </w:rPr>
      </w:pPr>
      <w:r w:rsidRPr="00CE5237">
        <w:rPr>
          <w:szCs w:val="16"/>
        </w:rPr>
        <w:t>Une prestatio</w:t>
      </w:r>
      <w:r w:rsidR="00120238">
        <w:rPr>
          <w:szCs w:val="16"/>
        </w:rPr>
        <w:t>n optionnelle d’installation d’Equipement T</w:t>
      </w:r>
      <w:r w:rsidRPr="00CE5237">
        <w:rPr>
          <w:szCs w:val="16"/>
        </w:rPr>
        <w:t>erminal.</w:t>
      </w:r>
    </w:p>
    <w:p w14:paraId="74AA5F9B" w14:textId="77777777" w:rsidR="005F7374" w:rsidRDefault="005F7374" w:rsidP="005F7374">
      <w:pPr>
        <w:rPr>
          <w:szCs w:val="16"/>
        </w:rPr>
      </w:pPr>
    </w:p>
    <w:p w14:paraId="560095C3" w14:textId="5CC2ADAA" w:rsidR="005F7374" w:rsidRPr="005F7374" w:rsidRDefault="005F7374" w:rsidP="005F7374">
      <w:pPr>
        <w:rPr>
          <w:szCs w:val="16"/>
        </w:rPr>
      </w:pPr>
      <w:r>
        <w:rPr>
          <w:szCs w:val="16"/>
        </w:rPr>
        <w:t>Les Lignes FTTH sont exclusives : il ne peut y avoir qu’une seule Ligne FTTH (Active ou Passive) par Local FTTH.</w:t>
      </w:r>
    </w:p>
    <w:p w14:paraId="44291F58" w14:textId="77777777" w:rsidR="00120238" w:rsidRDefault="00120238">
      <w:pPr>
        <w:rPr>
          <w:szCs w:val="16"/>
        </w:rPr>
      </w:pPr>
    </w:p>
    <w:p w14:paraId="78A4599E" w14:textId="3B2612CD" w:rsidR="00CE5237" w:rsidRDefault="00E073E1" w:rsidP="00393014">
      <w:pPr>
        <w:pStyle w:val="StyleTitre2"/>
      </w:pPr>
      <w:bookmarkStart w:id="5" w:name="_Toc150262726"/>
      <w:proofErr w:type="gramStart"/>
      <w:r>
        <w:t>La composante</w:t>
      </w:r>
      <w:proofErr w:type="gramEnd"/>
      <w:r>
        <w:t xml:space="preserve"> </w:t>
      </w:r>
      <w:r w:rsidR="000F0CDF">
        <w:t>r</w:t>
      </w:r>
      <w:r>
        <w:t>accordement</w:t>
      </w:r>
      <w:r w:rsidR="00347B76">
        <w:t xml:space="preserve"> </w:t>
      </w:r>
      <w:r w:rsidR="00EB1985">
        <w:t xml:space="preserve">au Réseau FTTH </w:t>
      </w:r>
    </w:p>
    <w:p w14:paraId="540EFCC1" w14:textId="77777777" w:rsidR="00C31E1D" w:rsidRDefault="00B20A08" w:rsidP="00D97FED">
      <w:pPr>
        <w:tabs>
          <w:tab w:val="left" w:pos="0"/>
        </w:tabs>
      </w:pPr>
      <w:r>
        <w:t>Cette prestation consiste en la création d’une continuité optique entre le PT</w:t>
      </w:r>
      <w:r w:rsidR="00F63628">
        <w:t>O</w:t>
      </w:r>
      <w:r>
        <w:t xml:space="preserve"> et le PM. Deux sous-prestations techniques sont nécessaires :</w:t>
      </w:r>
    </w:p>
    <w:p w14:paraId="5E0369C7" w14:textId="77777777" w:rsidR="00B20A08" w:rsidRDefault="00B20A08" w:rsidP="00B20A08"/>
    <w:p w14:paraId="43FDE630" w14:textId="3EAC253B" w:rsidR="004F4801" w:rsidRPr="00C04144" w:rsidRDefault="004F4801" w:rsidP="004251AF">
      <w:pPr>
        <w:pStyle w:val="Paragraphedeliste"/>
        <w:numPr>
          <w:ilvl w:val="0"/>
          <w:numId w:val="11"/>
        </w:numPr>
        <w:rPr>
          <w:szCs w:val="16"/>
        </w:rPr>
      </w:pPr>
      <w:r w:rsidRPr="00C04144">
        <w:rPr>
          <w:szCs w:val="16"/>
        </w:rPr>
        <w:t xml:space="preserve">La </w:t>
      </w:r>
      <w:r w:rsidR="00326DE7" w:rsidRPr="00C04144">
        <w:rPr>
          <w:szCs w:val="16"/>
        </w:rPr>
        <w:t>construction</w:t>
      </w:r>
      <w:r w:rsidRPr="00C04144">
        <w:rPr>
          <w:szCs w:val="16"/>
        </w:rPr>
        <w:t xml:space="preserve"> d’un Raccordement </w:t>
      </w:r>
      <w:r w:rsidR="00EB1985">
        <w:rPr>
          <w:szCs w:val="16"/>
        </w:rPr>
        <w:t xml:space="preserve">Client Final </w:t>
      </w:r>
      <w:r w:rsidR="004F062E" w:rsidRPr="00C04144">
        <w:rPr>
          <w:szCs w:val="16"/>
        </w:rPr>
        <w:t>entre le PBO et le PT</w:t>
      </w:r>
      <w:r w:rsidR="00FE69C7">
        <w:rPr>
          <w:szCs w:val="16"/>
        </w:rPr>
        <w:t>O</w:t>
      </w:r>
      <w:r w:rsidRPr="00C04144">
        <w:rPr>
          <w:szCs w:val="16"/>
        </w:rPr>
        <w:t xml:space="preserve"> si le Local FTTH n’en est pas déjà équipé</w:t>
      </w:r>
      <w:r w:rsidR="00BB4062" w:rsidRPr="00C04144">
        <w:rPr>
          <w:szCs w:val="16"/>
        </w:rPr>
        <w:t>,</w:t>
      </w:r>
    </w:p>
    <w:p w14:paraId="7E7492AE" w14:textId="77777777" w:rsidR="00B20A08" w:rsidRPr="00C04144" w:rsidRDefault="00B20A08" w:rsidP="004251AF">
      <w:pPr>
        <w:pStyle w:val="Paragraphedeliste"/>
        <w:numPr>
          <w:ilvl w:val="0"/>
          <w:numId w:val="11"/>
        </w:numPr>
        <w:rPr>
          <w:szCs w:val="16"/>
        </w:rPr>
      </w:pPr>
      <w:r w:rsidRPr="00C04144">
        <w:rPr>
          <w:szCs w:val="16"/>
        </w:rPr>
        <w:t>Le brassage de la Ligne FTTH au PM</w:t>
      </w:r>
      <w:r w:rsidR="00BB4062" w:rsidRPr="00C04144">
        <w:rPr>
          <w:szCs w:val="16"/>
        </w:rPr>
        <w:t>.</w:t>
      </w:r>
    </w:p>
    <w:p w14:paraId="592C15D8" w14:textId="77777777" w:rsidR="00EB4EE5" w:rsidRDefault="00EB4EE5" w:rsidP="004F4801">
      <w:pPr>
        <w:tabs>
          <w:tab w:val="left" w:pos="0"/>
        </w:tabs>
      </w:pPr>
    </w:p>
    <w:p w14:paraId="0B4EEA65" w14:textId="6D1D0B58" w:rsidR="0076764D" w:rsidRDefault="004F4801" w:rsidP="004F4801">
      <w:pPr>
        <w:tabs>
          <w:tab w:val="left" w:pos="0"/>
        </w:tabs>
      </w:pPr>
      <w:r>
        <w:t xml:space="preserve">La réalisation d’un Raccordement </w:t>
      </w:r>
      <w:r w:rsidR="00EB1985">
        <w:t xml:space="preserve">Client Final </w:t>
      </w:r>
      <w:r>
        <w:t xml:space="preserve">est nécessaire lors de la première activation du </w:t>
      </w:r>
      <w:r w:rsidR="004F062E">
        <w:t>S</w:t>
      </w:r>
      <w:r>
        <w:t>ervi</w:t>
      </w:r>
      <w:r w:rsidR="0076764D">
        <w:t>ce commandé.</w:t>
      </w:r>
    </w:p>
    <w:p w14:paraId="6D82DFE2" w14:textId="77777777" w:rsidR="0076764D" w:rsidRDefault="0076764D" w:rsidP="004F4801">
      <w:pPr>
        <w:tabs>
          <w:tab w:val="left" w:pos="0"/>
        </w:tabs>
      </w:pPr>
    </w:p>
    <w:p w14:paraId="50D3CDF9" w14:textId="77777777" w:rsidR="0076764D" w:rsidRDefault="0076764D" w:rsidP="004F4801">
      <w:pPr>
        <w:tabs>
          <w:tab w:val="left" w:pos="0"/>
        </w:tabs>
      </w:pPr>
      <w:r>
        <w:t>La réalisation d’un brassage au PM est nécessaire pour toute Commande d’un Accès FTTH.</w:t>
      </w:r>
    </w:p>
    <w:p w14:paraId="6891A072" w14:textId="77777777" w:rsidR="0076764D" w:rsidRDefault="0076764D" w:rsidP="004F4801">
      <w:pPr>
        <w:tabs>
          <w:tab w:val="left" w:pos="0"/>
        </w:tabs>
      </w:pPr>
    </w:p>
    <w:p w14:paraId="35C53132" w14:textId="0E4910AE" w:rsidR="00E36B29" w:rsidRDefault="004F4801" w:rsidP="0049298A">
      <w:pPr>
        <w:tabs>
          <w:tab w:val="left" w:pos="0"/>
        </w:tabs>
      </w:pPr>
      <w:r>
        <w:t xml:space="preserve">Dans le détail, </w:t>
      </w:r>
      <w:r w:rsidR="0076764D">
        <w:t xml:space="preserve">le Raccordement </w:t>
      </w:r>
      <w:r w:rsidR="00EB1985">
        <w:t>Client Final</w:t>
      </w:r>
      <w:r w:rsidR="0076764D">
        <w:t xml:space="preserve"> </w:t>
      </w:r>
      <w:r w:rsidRPr="004F4801">
        <w:t>comprend :</w:t>
      </w:r>
    </w:p>
    <w:p w14:paraId="68FD27B3" w14:textId="77777777" w:rsidR="00E36B29" w:rsidRDefault="00E36B29" w:rsidP="0049298A">
      <w:pPr>
        <w:tabs>
          <w:tab w:val="left" w:pos="0"/>
        </w:tabs>
      </w:pPr>
    </w:p>
    <w:p w14:paraId="52E8E461" w14:textId="302041E1" w:rsidR="00E36B29" w:rsidRDefault="00E36B29" w:rsidP="004251AF">
      <w:pPr>
        <w:numPr>
          <w:ilvl w:val="0"/>
          <w:numId w:val="13"/>
        </w:numPr>
        <w:tabs>
          <w:tab w:val="clear" w:pos="720"/>
          <w:tab w:val="left" w:pos="0"/>
          <w:tab w:val="num" w:pos="360"/>
          <w:tab w:val="num" w:pos="426"/>
        </w:tabs>
        <w:ind w:left="426" w:hanging="426"/>
      </w:pPr>
      <w:r>
        <w:t xml:space="preserve">La </w:t>
      </w:r>
      <w:r w:rsidR="00B93E3E">
        <w:t>mobilisation/</w:t>
      </w:r>
      <w:r>
        <w:t>réalisation du génie civil et des autorisations associées le cas échéant,</w:t>
      </w:r>
    </w:p>
    <w:p w14:paraId="4B8E3BB9" w14:textId="77777777" w:rsidR="00E36B29" w:rsidRDefault="00E36B29" w:rsidP="004251AF">
      <w:pPr>
        <w:numPr>
          <w:ilvl w:val="0"/>
          <w:numId w:val="13"/>
        </w:numPr>
        <w:tabs>
          <w:tab w:val="clear" w:pos="720"/>
          <w:tab w:val="left" w:pos="0"/>
          <w:tab w:val="num" w:pos="360"/>
          <w:tab w:val="num" w:pos="426"/>
        </w:tabs>
        <w:ind w:left="426" w:hanging="426"/>
      </w:pPr>
      <w:r w:rsidRPr="004F4801">
        <w:t>La mobilisation d’une nacelle et des autorisations associées le cas</w:t>
      </w:r>
      <w:r>
        <w:t xml:space="preserve"> </w:t>
      </w:r>
      <w:r w:rsidRPr="004F4801">
        <w:t>échéant,</w:t>
      </w:r>
    </w:p>
    <w:p w14:paraId="2A9603EC" w14:textId="2411914B" w:rsidR="00E36B29" w:rsidRPr="004F4801" w:rsidRDefault="00E36B29" w:rsidP="004251AF">
      <w:pPr>
        <w:numPr>
          <w:ilvl w:val="0"/>
          <w:numId w:val="13"/>
        </w:numPr>
        <w:tabs>
          <w:tab w:val="left" w:pos="0"/>
          <w:tab w:val="num" w:pos="360"/>
        </w:tabs>
      </w:pPr>
      <w:r w:rsidRPr="004F4801">
        <w:t xml:space="preserve">La fourniture et la pose d’un Raccordement </w:t>
      </w:r>
      <w:r w:rsidR="00EB1985">
        <w:t>Client Final</w:t>
      </w:r>
      <w:r w:rsidRPr="004F4801">
        <w:t>,</w:t>
      </w:r>
    </w:p>
    <w:p w14:paraId="582134CC" w14:textId="77777777" w:rsidR="00E36B29" w:rsidRDefault="00E36B29" w:rsidP="004251AF">
      <w:pPr>
        <w:numPr>
          <w:ilvl w:val="0"/>
          <w:numId w:val="13"/>
        </w:numPr>
        <w:tabs>
          <w:tab w:val="clear" w:pos="720"/>
          <w:tab w:val="left" w:pos="0"/>
          <w:tab w:val="num" w:pos="360"/>
          <w:tab w:val="num" w:pos="426"/>
        </w:tabs>
        <w:ind w:left="426" w:hanging="426"/>
      </w:pPr>
      <w:r w:rsidRPr="004F4801">
        <w:t>La demande et l’obtention d’une autorisation de syndic pour la pose</w:t>
      </w:r>
      <w:r>
        <w:t xml:space="preserve"> </w:t>
      </w:r>
      <w:r w:rsidRPr="004F4801">
        <w:t>d’une goulotte en parties communes le cas échéant,</w:t>
      </w:r>
    </w:p>
    <w:p w14:paraId="0CF35B91" w14:textId="69802491" w:rsidR="00E36B29" w:rsidRPr="004F4801" w:rsidRDefault="00E36B29" w:rsidP="004251AF">
      <w:pPr>
        <w:numPr>
          <w:ilvl w:val="0"/>
          <w:numId w:val="13"/>
        </w:numPr>
        <w:tabs>
          <w:tab w:val="left" w:pos="0"/>
          <w:tab w:val="num" w:pos="360"/>
        </w:tabs>
      </w:pPr>
      <w:r w:rsidRPr="004F4801">
        <w:t xml:space="preserve">La soudure par </w:t>
      </w:r>
      <w:r>
        <w:t>f</w:t>
      </w:r>
      <w:r w:rsidRPr="004F4801">
        <w:t>usion au PBO,</w:t>
      </w:r>
    </w:p>
    <w:p w14:paraId="6F0C7AE7" w14:textId="77777777" w:rsidR="00E36B29" w:rsidRDefault="00E36B29" w:rsidP="004251AF">
      <w:pPr>
        <w:numPr>
          <w:ilvl w:val="0"/>
          <w:numId w:val="13"/>
        </w:numPr>
        <w:tabs>
          <w:tab w:val="clear" w:pos="720"/>
          <w:tab w:val="left" w:pos="0"/>
          <w:tab w:val="num" w:pos="360"/>
          <w:tab w:val="num" w:pos="426"/>
        </w:tabs>
        <w:ind w:left="426" w:hanging="426"/>
      </w:pPr>
      <w:r w:rsidRPr="004F4801">
        <w:t>L</w:t>
      </w:r>
      <w:r>
        <w:t xml:space="preserve">a </w:t>
      </w:r>
      <w:r w:rsidRPr="004F4801">
        <w:t>fourniture et pose du P</w:t>
      </w:r>
      <w:r>
        <w:t>T</w:t>
      </w:r>
      <w:r w:rsidR="00FF09C6">
        <w:t>O</w:t>
      </w:r>
      <w:r w:rsidRPr="004F4801">
        <w:t xml:space="preserve"> chez</w:t>
      </w:r>
      <w:r>
        <w:t xml:space="preserve"> </w:t>
      </w:r>
      <w:r w:rsidRPr="004F4801">
        <w:t>l’Abonné,</w:t>
      </w:r>
    </w:p>
    <w:p w14:paraId="4CD3D6B8" w14:textId="6687CE39" w:rsidR="00E36B29" w:rsidRDefault="00E36B29" w:rsidP="004251AF">
      <w:pPr>
        <w:numPr>
          <w:ilvl w:val="0"/>
          <w:numId w:val="13"/>
        </w:numPr>
        <w:tabs>
          <w:tab w:val="clear" w:pos="720"/>
          <w:tab w:val="left" w:pos="0"/>
          <w:tab w:val="num" w:pos="360"/>
          <w:tab w:val="num" w:pos="426"/>
        </w:tabs>
        <w:ind w:left="426" w:hanging="426"/>
      </w:pPr>
      <w:r w:rsidRPr="004F4801">
        <w:t>La mise en continuité optique entre le P</w:t>
      </w:r>
      <w:r>
        <w:t>BO</w:t>
      </w:r>
      <w:r w:rsidRPr="004F4801">
        <w:t xml:space="preserve"> et le PT</w:t>
      </w:r>
      <w:r w:rsidR="00FF09C6">
        <w:t>O</w:t>
      </w:r>
      <w:r w:rsidRPr="004F4801">
        <w:t xml:space="preserve"> d</w:t>
      </w:r>
      <w:r>
        <w:t>e l’Utilisateur Final</w:t>
      </w:r>
      <w:r w:rsidRPr="004F4801">
        <w:t>.</w:t>
      </w:r>
    </w:p>
    <w:p w14:paraId="25177C4F" w14:textId="5C9CB7AC" w:rsidR="00CC1EB7" w:rsidRDefault="00893619" w:rsidP="004251AF">
      <w:pPr>
        <w:numPr>
          <w:ilvl w:val="0"/>
          <w:numId w:val="13"/>
        </w:numPr>
        <w:tabs>
          <w:tab w:val="clear" w:pos="720"/>
          <w:tab w:val="left" w:pos="0"/>
          <w:tab w:val="num" w:pos="360"/>
          <w:tab w:val="num" w:pos="426"/>
        </w:tabs>
        <w:ind w:left="426" w:hanging="426"/>
      </w:pPr>
      <w:r>
        <w:t>L’envoi du Compte Rendu d</w:t>
      </w:r>
      <w:r w:rsidR="00CC1EB7">
        <w:t>’</w:t>
      </w:r>
      <w:r>
        <w:t>I</w:t>
      </w:r>
      <w:r w:rsidR="00CC1EB7">
        <w:t xml:space="preserve">ntervention (CRI) </w:t>
      </w:r>
    </w:p>
    <w:p w14:paraId="75E132C6" w14:textId="77777777" w:rsidR="00517F8C" w:rsidRDefault="00517F8C" w:rsidP="00517F8C">
      <w:pPr>
        <w:tabs>
          <w:tab w:val="left" w:pos="0"/>
        </w:tabs>
      </w:pPr>
    </w:p>
    <w:p w14:paraId="7699CA88" w14:textId="7D6604EE" w:rsidR="00EE3747" w:rsidRDefault="00F67EB7" w:rsidP="00AF3360">
      <w:pPr>
        <w:tabs>
          <w:tab w:val="left" w:pos="0"/>
        </w:tabs>
      </w:pPr>
      <w:r>
        <w:t xml:space="preserve">La distance maximale du Raccordement </w:t>
      </w:r>
      <w:r w:rsidR="00EB1985">
        <w:t>Client Final</w:t>
      </w:r>
      <w:r>
        <w:t xml:space="preserve"> </w:t>
      </w:r>
      <w:r w:rsidR="00AF3360">
        <w:t>e</w:t>
      </w:r>
      <w:r w:rsidR="00EE3747">
        <w:t>n domaine privé </w:t>
      </w:r>
      <w:r w:rsidR="00AF3360">
        <w:t xml:space="preserve">est de </w:t>
      </w:r>
      <w:r w:rsidR="0059589A">
        <w:t>5</w:t>
      </w:r>
      <w:r w:rsidR="00EE3747">
        <w:t>0 m</w:t>
      </w:r>
      <w:r w:rsidR="00395597">
        <w:t xml:space="preserve">ètres </w:t>
      </w:r>
      <w:r w:rsidR="00EE3747">
        <w:t>l</w:t>
      </w:r>
      <w:r w:rsidR="00395597">
        <w:t>inéaire</w:t>
      </w:r>
      <w:r w:rsidR="00E81967">
        <w:t>s</w:t>
      </w:r>
      <w:r w:rsidR="00EE3747">
        <w:t xml:space="preserve"> avec un objectif de </w:t>
      </w:r>
      <w:r w:rsidR="005E55BC">
        <w:t>15</w:t>
      </w:r>
      <w:r w:rsidR="00395597">
        <w:t xml:space="preserve"> mètres linéaires</w:t>
      </w:r>
      <w:r w:rsidR="005A722D">
        <w:t xml:space="preserve"> </w:t>
      </w:r>
      <w:r w:rsidR="00EE3747">
        <w:t>maximum en desserte interne dès pénétration dans le local FTTH.</w:t>
      </w:r>
    </w:p>
    <w:p w14:paraId="0F62DD04" w14:textId="77777777" w:rsidR="00EE3747" w:rsidRDefault="00EE3747" w:rsidP="00EE3747">
      <w:pPr>
        <w:tabs>
          <w:tab w:val="left" w:pos="0"/>
        </w:tabs>
      </w:pPr>
    </w:p>
    <w:p w14:paraId="7C9FDC0B" w14:textId="4DD81E70" w:rsidR="00775E67" w:rsidRPr="00775E67" w:rsidRDefault="00EE3747" w:rsidP="00775E67">
      <w:pPr>
        <w:tabs>
          <w:tab w:val="left" w:pos="2890"/>
        </w:tabs>
        <w:rPr>
          <w:szCs w:val="16"/>
        </w:rPr>
      </w:pPr>
      <w:r>
        <w:rPr>
          <w:szCs w:val="16"/>
        </w:rPr>
        <w:t xml:space="preserve">Le choix de l’emplacement </w:t>
      </w:r>
      <w:r w:rsidR="0092374B">
        <w:rPr>
          <w:szCs w:val="16"/>
        </w:rPr>
        <w:t xml:space="preserve">du </w:t>
      </w:r>
      <w:r>
        <w:rPr>
          <w:szCs w:val="16"/>
        </w:rPr>
        <w:t>PTO est fait en accord avec l</w:t>
      </w:r>
      <w:r w:rsidR="00B93E3E">
        <w:rPr>
          <w:szCs w:val="16"/>
        </w:rPr>
        <w:t>’Utilisateur</w:t>
      </w:r>
      <w:r>
        <w:rPr>
          <w:szCs w:val="16"/>
        </w:rPr>
        <w:t xml:space="preserve"> Final, et dans la limite des conditions de distances précisées ci-dessus. Autant que possible, le PTO sera placé dans un endroit qui favorise l’ex</w:t>
      </w:r>
      <w:r w:rsidR="00A00EA1">
        <w:rPr>
          <w:szCs w:val="16"/>
        </w:rPr>
        <w:t>ploitation optimisée des Equipements du Fournisseur</w:t>
      </w:r>
      <w:r w:rsidR="00E81967">
        <w:rPr>
          <w:szCs w:val="16"/>
        </w:rPr>
        <w:t xml:space="preserve"> </w:t>
      </w:r>
      <w:r w:rsidR="00A53461">
        <w:rPr>
          <w:szCs w:val="16"/>
        </w:rPr>
        <w:t xml:space="preserve">et </w:t>
      </w:r>
      <w:r w:rsidR="00E81967">
        <w:rPr>
          <w:szCs w:val="16"/>
        </w:rPr>
        <w:t>qui sera généralement la pièce de vie de l’Utilisateur Final</w:t>
      </w:r>
      <w:r w:rsidR="00A53461">
        <w:rPr>
          <w:szCs w:val="16"/>
        </w:rPr>
        <w:t xml:space="preserve"> quand celui-ci est un particulier</w:t>
      </w:r>
      <w:r w:rsidR="00E81967">
        <w:rPr>
          <w:szCs w:val="16"/>
        </w:rPr>
        <w:t>, sauf demande expresse de ce dernier.</w:t>
      </w:r>
      <w:r w:rsidR="004F657C">
        <w:rPr>
          <w:szCs w:val="16"/>
        </w:rPr>
        <w:t xml:space="preserve"> Le Client peut passer commande auprès du Fournisseur d’une prestation d’intervention chez un Utilisateur Final pour modifier l’emplacement du PTO </w:t>
      </w:r>
      <w:r w:rsidR="006905B0">
        <w:rPr>
          <w:szCs w:val="16"/>
        </w:rPr>
        <w:t>précédemm</w:t>
      </w:r>
      <w:r w:rsidR="002501C5">
        <w:rPr>
          <w:szCs w:val="16"/>
        </w:rPr>
        <w:t>ent installé par le Fournisseur</w:t>
      </w:r>
      <w:r w:rsidR="006905B0">
        <w:rPr>
          <w:szCs w:val="16"/>
        </w:rPr>
        <w:t xml:space="preserve"> </w:t>
      </w:r>
      <w:r w:rsidR="004F657C">
        <w:rPr>
          <w:szCs w:val="16"/>
        </w:rPr>
        <w:t xml:space="preserve">si </w:t>
      </w:r>
      <w:r w:rsidR="006905B0">
        <w:rPr>
          <w:szCs w:val="16"/>
        </w:rPr>
        <w:t>l’Utilisateur Final</w:t>
      </w:r>
      <w:r w:rsidR="004F657C">
        <w:rPr>
          <w:szCs w:val="16"/>
        </w:rPr>
        <w:t xml:space="preserve"> en a fait la demande auprès du Client. Dans ce cas, le Fournisseur facturera au Client cette prestation comme indiqué en Annexe 1.</w:t>
      </w:r>
      <w:r w:rsidR="002501C5">
        <w:rPr>
          <w:szCs w:val="16"/>
        </w:rPr>
        <w:t xml:space="preserve"> </w:t>
      </w:r>
    </w:p>
    <w:p w14:paraId="1BC97C2C" w14:textId="54E4AF0E" w:rsidR="00775E67" w:rsidRPr="00775E67" w:rsidRDefault="00775E67" w:rsidP="00775E67">
      <w:pPr>
        <w:tabs>
          <w:tab w:val="left" w:pos="2890"/>
        </w:tabs>
        <w:rPr>
          <w:szCs w:val="16"/>
        </w:rPr>
      </w:pPr>
      <w:r>
        <w:rPr>
          <w:szCs w:val="16"/>
        </w:rPr>
        <w:t>Lors d’un Raccordement Client Final, a</w:t>
      </w:r>
      <w:r w:rsidRPr="00775E67">
        <w:rPr>
          <w:szCs w:val="16"/>
        </w:rPr>
        <w:t xml:space="preserve">u-delà de la limite de prestation telle que définie </w:t>
      </w:r>
      <w:r>
        <w:rPr>
          <w:szCs w:val="16"/>
        </w:rPr>
        <w:t>dans le présent Contrat</w:t>
      </w:r>
      <w:r w:rsidRPr="00775E67">
        <w:rPr>
          <w:szCs w:val="16"/>
        </w:rPr>
        <w:t xml:space="preserve">, les surcoûts seront à la charge du Client. A ce titre, le Fournisseur arrête son intervention, informe l’Utilisateur Final et adresse au Client un Compte Rendu d’Intervention précisant autant que possible les travaux nécessaires pour d’effectuer le Raccordement Client Final </w:t>
      </w:r>
    </w:p>
    <w:p w14:paraId="1BAD71D6" w14:textId="77777777" w:rsidR="00775E67" w:rsidRPr="00775E67" w:rsidRDefault="00775E67" w:rsidP="00775E67">
      <w:pPr>
        <w:tabs>
          <w:tab w:val="left" w:pos="2890"/>
        </w:tabs>
        <w:rPr>
          <w:szCs w:val="16"/>
        </w:rPr>
      </w:pPr>
    </w:p>
    <w:p w14:paraId="67F4EE04" w14:textId="5FD991EC" w:rsidR="00775E67" w:rsidRPr="00775E67" w:rsidRDefault="00775E67" w:rsidP="00775E67">
      <w:pPr>
        <w:tabs>
          <w:tab w:val="left" w:pos="2890"/>
        </w:tabs>
        <w:rPr>
          <w:szCs w:val="16"/>
        </w:rPr>
      </w:pPr>
      <w:r w:rsidRPr="00775E67">
        <w:rPr>
          <w:szCs w:val="16"/>
        </w:rPr>
        <w:t xml:space="preserve">Dans le cas où la difficulté de raccordement est uniquement liée à une sur-longueur de câble en domaine privé, le Fournisseur émet un devis au Client en respectant la tarification précisée en Annexe 1. Ce devis sera soumis à l’acceptation du Client. </w:t>
      </w:r>
    </w:p>
    <w:p w14:paraId="3A5BF009" w14:textId="77777777" w:rsidR="00775E67" w:rsidRPr="00775E67" w:rsidRDefault="00775E67" w:rsidP="00775E67">
      <w:pPr>
        <w:tabs>
          <w:tab w:val="left" w:pos="2890"/>
        </w:tabs>
        <w:rPr>
          <w:szCs w:val="16"/>
        </w:rPr>
      </w:pPr>
    </w:p>
    <w:p w14:paraId="74146847" w14:textId="31A547CC" w:rsidR="00775E67" w:rsidRPr="00775E67" w:rsidRDefault="00775E67" w:rsidP="00775E67">
      <w:pPr>
        <w:tabs>
          <w:tab w:val="left" w:pos="2890"/>
        </w:tabs>
        <w:rPr>
          <w:szCs w:val="16"/>
        </w:rPr>
      </w:pPr>
      <w:r w:rsidRPr="00775E67">
        <w:rPr>
          <w:szCs w:val="16"/>
        </w:rPr>
        <w:t>Dans les autres cas nécessitant des trav</w:t>
      </w:r>
      <w:r>
        <w:rPr>
          <w:szCs w:val="16"/>
        </w:rPr>
        <w:t xml:space="preserve">aux complexes en domaine privé et hors cas spécifiques chez certaines Mandantes qui sont indiqués en Annexe 1.B, </w:t>
      </w:r>
      <w:r w:rsidRPr="00775E67">
        <w:rPr>
          <w:szCs w:val="16"/>
        </w:rPr>
        <w:t>l’Utilisateur Final pourra:</w:t>
      </w:r>
    </w:p>
    <w:p w14:paraId="4DF151EB" w14:textId="77777777" w:rsidR="00775E67" w:rsidRPr="00775E67" w:rsidRDefault="00775E67" w:rsidP="00775E67">
      <w:pPr>
        <w:numPr>
          <w:ilvl w:val="0"/>
          <w:numId w:val="6"/>
        </w:numPr>
        <w:tabs>
          <w:tab w:val="left" w:pos="2890"/>
        </w:tabs>
        <w:rPr>
          <w:szCs w:val="16"/>
        </w:rPr>
      </w:pPr>
      <w:r w:rsidRPr="00775E67">
        <w:rPr>
          <w:szCs w:val="16"/>
        </w:rPr>
        <w:t>Soit mandater une entreprise tierce pour réaliser les travaux,</w:t>
      </w:r>
    </w:p>
    <w:p w14:paraId="3DE09464" w14:textId="77777777" w:rsidR="00775E67" w:rsidRPr="00775E67" w:rsidRDefault="00775E67" w:rsidP="00775E67">
      <w:pPr>
        <w:numPr>
          <w:ilvl w:val="0"/>
          <w:numId w:val="6"/>
        </w:numPr>
        <w:tabs>
          <w:tab w:val="left" w:pos="2890"/>
        </w:tabs>
        <w:rPr>
          <w:szCs w:val="16"/>
        </w:rPr>
      </w:pPr>
      <w:r w:rsidRPr="00775E67">
        <w:rPr>
          <w:szCs w:val="16"/>
        </w:rPr>
        <w:lastRenderedPageBreak/>
        <w:t xml:space="preserve">Soit, si le Client le propose, mandater ce dernier pour réaliser les travaux ou les faire réaliser. </w:t>
      </w:r>
    </w:p>
    <w:p w14:paraId="6BA98902" w14:textId="77777777" w:rsidR="00775E67" w:rsidRPr="00775E67" w:rsidRDefault="00775E67" w:rsidP="00775E67">
      <w:pPr>
        <w:tabs>
          <w:tab w:val="left" w:pos="2890"/>
        </w:tabs>
        <w:rPr>
          <w:szCs w:val="16"/>
        </w:rPr>
      </w:pPr>
    </w:p>
    <w:p w14:paraId="61F9F2E8" w14:textId="38BFE626" w:rsidR="00775E67" w:rsidRPr="00775E67" w:rsidRDefault="00775E67" w:rsidP="00775E67">
      <w:pPr>
        <w:tabs>
          <w:tab w:val="left" w:pos="2890"/>
        </w:tabs>
        <w:rPr>
          <w:szCs w:val="16"/>
        </w:rPr>
      </w:pPr>
      <w:r w:rsidRPr="00775E67">
        <w:rPr>
          <w:szCs w:val="16"/>
        </w:rPr>
        <w:t>Dans le cas où le Client serait mandaté, celui-ci pourra faire la demande auprès du Fournisseur de réaliser lesdits travaux sur le domaine privé de l’Utilisateur Final. A ce titre, le Fournisseur émettra un devis au Client en respectant la tarification en Annexe 1.</w:t>
      </w:r>
      <w:r>
        <w:rPr>
          <w:szCs w:val="16"/>
        </w:rPr>
        <w:t>B</w:t>
      </w:r>
      <w:r w:rsidRPr="00775E67">
        <w:rPr>
          <w:szCs w:val="16"/>
        </w:rPr>
        <w:t xml:space="preserve">. Ce devis sera soumis à l’acceptation du Client, ce dernier devant obtenir la validation écrite de l’Utilisateur Final. Suite à cette acceptation, le Fournisseur procède aux travaux sur le domaine privé et facture le Client du montant du devis. </w:t>
      </w:r>
    </w:p>
    <w:p w14:paraId="4CE89EC0" w14:textId="77777777" w:rsidR="00775E67" w:rsidRPr="00775E67" w:rsidRDefault="00775E67" w:rsidP="00775E67">
      <w:pPr>
        <w:tabs>
          <w:tab w:val="left" w:pos="2890"/>
        </w:tabs>
        <w:rPr>
          <w:szCs w:val="16"/>
        </w:rPr>
      </w:pPr>
    </w:p>
    <w:p w14:paraId="131EF7E1" w14:textId="5906BA75" w:rsidR="00775E67" w:rsidRPr="00775E67" w:rsidRDefault="00775E67" w:rsidP="00775E67">
      <w:pPr>
        <w:tabs>
          <w:tab w:val="left" w:pos="2890"/>
        </w:tabs>
        <w:rPr>
          <w:szCs w:val="16"/>
        </w:rPr>
      </w:pPr>
      <w:r w:rsidRPr="00775E67">
        <w:rPr>
          <w:szCs w:val="16"/>
        </w:rPr>
        <w:t>En cas de refus de ce devis ou de non-réponse dans un délai de quinze (15) Jours Ouvrés, le Fournisseur ne procède pas au R</w:t>
      </w:r>
      <w:r>
        <w:rPr>
          <w:szCs w:val="16"/>
        </w:rPr>
        <w:t>accordement Client Final</w:t>
      </w:r>
      <w:r w:rsidRPr="00775E67">
        <w:rPr>
          <w:szCs w:val="16"/>
        </w:rPr>
        <w:t>, la commande devra obligatoirement être annulée par le Client et le Fournisseur facture au Client une « Pénalité pour déplacement à tort – Annulation de commande a</w:t>
      </w:r>
      <w:r>
        <w:rPr>
          <w:szCs w:val="16"/>
        </w:rPr>
        <w:t>près déplacement du technicien »  dans les conditions tarifaires précisées en Annexe 1.A</w:t>
      </w:r>
      <w:r w:rsidRPr="00775E67">
        <w:rPr>
          <w:szCs w:val="16"/>
        </w:rPr>
        <w:t>.</w:t>
      </w:r>
    </w:p>
    <w:p w14:paraId="33A20059" w14:textId="77777777" w:rsidR="00EE3747" w:rsidRDefault="00EE3747" w:rsidP="00EE3747">
      <w:pPr>
        <w:tabs>
          <w:tab w:val="left" w:pos="2890"/>
        </w:tabs>
        <w:rPr>
          <w:szCs w:val="16"/>
        </w:rPr>
      </w:pPr>
    </w:p>
    <w:p w14:paraId="5EBC5654" w14:textId="77777777" w:rsidR="008D7749" w:rsidRPr="008D7749" w:rsidRDefault="008D7749" w:rsidP="008D7749">
      <w:pPr>
        <w:tabs>
          <w:tab w:val="left" w:pos="2890"/>
        </w:tabs>
        <w:rPr>
          <w:szCs w:val="16"/>
        </w:rPr>
      </w:pPr>
    </w:p>
    <w:p w14:paraId="75204F1D" w14:textId="77777777" w:rsidR="00EE3747" w:rsidRDefault="00EE3747" w:rsidP="00EE3747">
      <w:pPr>
        <w:pStyle w:val="Paragraphedeliste"/>
        <w:tabs>
          <w:tab w:val="left" w:pos="0"/>
        </w:tabs>
      </w:pPr>
    </w:p>
    <w:p w14:paraId="5B65BF47" w14:textId="786016A6" w:rsidR="00CE5237" w:rsidRDefault="00E073E1" w:rsidP="00CE5237">
      <w:pPr>
        <w:pStyle w:val="StyleTitre2"/>
      </w:pPr>
      <w:r>
        <w:t xml:space="preserve">La </w:t>
      </w:r>
      <w:r w:rsidR="00B55423">
        <w:t>composante Accès</w:t>
      </w:r>
    </w:p>
    <w:p w14:paraId="6967EF9E" w14:textId="77777777" w:rsidR="001608E8" w:rsidRDefault="00850EA7" w:rsidP="00850EA7">
      <w:pPr>
        <w:pStyle w:val="Styletitre3"/>
      </w:pPr>
      <w:r>
        <w:t xml:space="preserve"> </w:t>
      </w:r>
      <w:r w:rsidR="004E3CE0">
        <w:t>Description de la composante Accès</w:t>
      </w:r>
    </w:p>
    <w:p w14:paraId="53605EA8" w14:textId="77777777" w:rsidR="00326DE7" w:rsidRPr="00827BBE" w:rsidRDefault="00326DE7" w:rsidP="00326DE7">
      <w:pPr>
        <w:rPr>
          <w:szCs w:val="16"/>
        </w:rPr>
      </w:pPr>
      <w:r w:rsidRPr="00827BBE">
        <w:rPr>
          <w:szCs w:val="16"/>
        </w:rPr>
        <w:t>L</w:t>
      </w:r>
      <w:r w:rsidR="006A5A6C">
        <w:rPr>
          <w:szCs w:val="16"/>
        </w:rPr>
        <w:t xml:space="preserve">a composante </w:t>
      </w:r>
      <w:r w:rsidR="008F2303">
        <w:rPr>
          <w:szCs w:val="16"/>
        </w:rPr>
        <w:t>A</w:t>
      </w:r>
      <w:r w:rsidR="006A5A6C">
        <w:rPr>
          <w:szCs w:val="16"/>
        </w:rPr>
        <w:t>ccès</w:t>
      </w:r>
      <w:r w:rsidRPr="00827BBE">
        <w:rPr>
          <w:szCs w:val="16"/>
        </w:rPr>
        <w:t xml:space="preserve"> consiste en l</w:t>
      </w:r>
      <w:r w:rsidR="006A5A6C">
        <w:rPr>
          <w:szCs w:val="16"/>
        </w:rPr>
        <w:t>’activation du Service sur la Ligne FTTH</w:t>
      </w:r>
      <w:r>
        <w:rPr>
          <w:szCs w:val="16"/>
        </w:rPr>
        <w:t>. Cette</w:t>
      </w:r>
      <w:r w:rsidRPr="00827BBE">
        <w:rPr>
          <w:szCs w:val="16"/>
        </w:rPr>
        <w:t xml:space="preserve"> prestation compren</w:t>
      </w:r>
      <w:r>
        <w:rPr>
          <w:szCs w:val="16"/>
        </w:rPr>
        <w:t>d</w:t>
      </w:r>
      <w:r w:rsidRPr="00827BBE">
        <w:rPr>
          <w:szCs w:val="16"/>
        </w:rPr>
        <w:t> :</w:t>
      </w:r>
    </w:p>
    <w:p w14:paraId="331C4034" w14:textId="77777777" w:rsidR="00326DE7" w:rsidRPr="009613D9" w:rsidRDefault="00326DE7" w:rsidP="00326DE7"/>
    <w:p w14:paraId="5DD7D751" w14:textId="54292158" w:rsidR="00CE5237" w:rsidRDefault="00B046EB" w:rsidP="00CE5237">
      <w:pPr>
        <w:ind w:left="360" w:hanging="360"/>
        <w:rPr>
          <w:szCs w:val="16"/>
        </w:rPr>
      </w:pPr>
      <w:r>
        <w:rPr>
          <w:szCs w:val="16"/>
        </w:rPr>
        <w:t>-</w:t>
      </w:r>
      <w:r w:rsidR="00326DE7">
        <w:rPr>
          <w:szCs w:val="16"/>
        </w:rPr>
        <w:tab/>
        <w:t xml:space="preserve">Le transport des flux de service sur le </w:t>
      </w:r>
      <w:r w:rsidR="00D90C3F">
        <w:rPr>
          <w:szCs w:val="16"/>
        </w:rPr>
        <w:t>R</w:t>
      </w:r>
      <w:r w:rsidR="00326DE7">
        <w:rPr>
          <w:szCs w:val="16"/>
        </w:rPr>
        <w:t xml:space="preserve">éseau, avec </w:t>
      </w:r>
      <w:r w:rsidR="004E3CE0">
        <w:rPr>
          <w:szCs w:val="16"/>
        </w:rPr>
        <w:t>la qualité de service souscrite, y compris des flux multicast TV du Client</w:t>
      </w:r>
      <w:r w:rsidR="00BB4062">
        <w:rPr>
          <w:szCs w:val="16"/>
        </w:rPr>
        <w:t> </w:t>
      </w:r>
      <w:r w:rsidR="00B2613D">
        <w:rPr>
          <w:szCs w:val="16"/>
        </w:rPr>
        <w:t xml:space="preserve">le cas échéant </w:t>
      </w:r>
      <w:r w:rsidR="00BB4062">
        <w:rPr>
          <w:szCs w:val="16"/>
        </w:rPr>
        <w:t>;</w:t>
      </w:r>
    </w:p>
    <w:p w14:paraId="3C6C22C1" w14:textId="77777777" w:rsidR="00326DE7" w:rsidRDefault="00326DE7" w:rsidP="00326DE7">
      <w:pPr>
        <w:numPr>
          <w:ilvl w:val="0"/>
          <w:numId w:val="6"/>
        </w:numPr>
        <w:rPr>
          <w:szCs w:val="16"/>
        </w:rPr>
      </w:pPr>
      <w:r>
        <w:rPr>
          <w:szCs w:val="16"/>
        </w:rPr>
        <w:t>La livraison au Client des flux sur un</w:t>
      </w:r>
      <w:r w:rsidR="0052263A">
        <w:rPr>
          <w:szCs w:val="16"/>
        </w:rPr>
        <w:t>e</w:t>
      </w:r>
      <w:r>
        <w:rPr>
          <w:szCs w:val="16"/>
        </w:rPr>
        <w:t xml:space="preserve"> Port</w:t>
      </w:r>
      <w:r w:rsidR="0052263A">
        <w:rPr>
          <w:szCs w:val="16"/>
        </w:rPr>
        <w:t>e</w:t>
      </w:r>
      <w:r>
        <w:rPr>
          <w:szCs w:val="16"/>
        </w:rPr>
        <w:t xml:space="preserve"> de Livraison. </w:t>
      </w:r>
    </w:p>
    <w:p w14:paraId="1B7E2846" w14:textId="49308F3C" w:rsidR="00471EB9" w:rsidRPr="00471EB9" w:rsidRDefault="0025223C" w:rsidP="00471EB9">
      <w:pPr>
        <w:pStyle w:val="Paragraphedeliste"/>
        <w:numPr>
          <w:ilvl w:val="0"/>
          <w:numId w:val="6"/>
        </w:numPr>
        <w:rPr>
          <w:szCs w:val="16"/>
        </w:rPr>
      </w:pPr>
      <w:r w:rsidRPr="00471EB9">
        <w:rPr>
          <w:szCs w:val="16"/>
        </w:rPr>
        <w:t xml:space="preserve">La fourniture et </w:t>
      </w:r>
      <w:r>
        <w:rPr>
          <w:szCs w:val="16"/>
        </w:rPr>
        <w:t xml:space="preserve">la </w:t>
      </w:r>
      <w:r w:rsidRPr="00471EB9">
        <w:rPr>
          <w:szCs w:val="16"/>
        </w:rPr>
        <w:t xml:space="preserve">pose </w:t>
      </w:r>
      <w:r w:rsidR="00C53FD1">
        <w:rPr>
          <w:szCs w:val="16"/>
        </w:rPr>
        <w:t>du PT</w:t>
      </w:r>
      <w:r w:rsidRPr="00471EB9">
        <w:rPr>
          <w:szCs w:val="16"/>
        </w:rPr>
        <w:t xml:space="preserve"> chez l’Abonné</w:t>
      </w:r>
      <w:r w:rsidR="006D1638">
        <w:rPr>
          <w:szCs w:val="16"/>
        </w:rPr>
        <w:t xml:space="preserve"> selon la validation faite entre les Parties</w:t>
      </w:r>
      <w:r w:rsidRPr="00471EB9">
        <w:rPr>
          <w:szCs w:val="16"/>
        </w:rPr>
        <w:t>.</w:t>
      </w:r>
    </w:p>
    <w:p w14:paraId="51DBB6F5" w14:textId="77777777" w:rsidR="00326DE7" w:rsidRDefault="00326DE7" w:rsidP="00326DE7">
      <w:pPr>
        <w:rPr>
          <w:szCs w:val="16"/>
        </w:rPr>
      </w:pPr>
    </w:p>
    <w:p w14:paraId="7506B150" w14:textId="72948855" w:rsidR="00326DE7" w:rsidRDefault="00326DE7" w:rsidP="00326DE7">
      <w:pPr>
        <w:rPr>
          <w:szCs w:val="16"/>
        </w:rPr>
      </w:pPr>
      <w:r>
        <w:rPr>
          <w:szCs w:val="16"/>
        </w:rPr>
        <w:t xml:space="preserve">Le Service est limité, du côté </w:t>
      </w:r>
      <w:r w:rsidR="00E6702F">
        <w:rPr>
          <w:szCs w:val="16"/>
        </w:rPr>
        <w:t>Utilisateur Final</w:t>
      </w:r>
      <w:r>
        <w:rPr>
          <w:szCs w:val="16"/>
        </w:rPr>
        <w:t xml:space="preserve"> par le Point de Terminaison et </w:t>
      </w:r>
      <w:r w:rsidR="00BB4062">
        <w:rPr>
          <w:szCs w:val="16"/>
        </w:rPr>
        <w:t xml:space="preserve">du côté Client, </w:t>
      </w:r>
      <w:r>
        <w:rPr>
          <w:szCs w:val="16"/>
        </w:rPr>
        <w:t>par l</w:t>
      </w:r>
      <w:r w:rsidR="00C67A4E">
        <w:rPr>
          <w:szCs w:val="16"/>
        </w:rPr>
        <w:t>a</w:t>
      </w:r>
      <w:r>
        <w:rPr>
          <w:szCs w:val="16"/>
        </w:rPr>
        <w:t xml:space="preserve"> </w:t>
      </w:r>
      <w:r w:rsidR="006F4ED0">
        <w:rPr>
          <w:szCs w:val="16"/>
        </w:rPr>
        <w:t>Porte de Livraison</w:t>
      </w:r>
      <w:r>
        <w:rPr>
          <w:szCs w:val="16"/>
        </w:rPr>
        <w:t xml:space="preserve">. </w:t>
      </w:r>
    </w:p>
    <w:p w14:paraId="78FF0442" w14:textId="77777777" w:rsidR="00EB753E" w:rsidRDefault="00EB753E" w:rsidP="00326DE7">
      <w:pPr>
        <w:rPr>
          <w:szCs w:val="16"/>
        </w:rPr>
      </w:pPr>
    </w:p>
    <w:p w14:paraId="186265F1" w14:textId="248EAF87" w:rsidR="00EB753E" w:rsidRDefault="00EB753E" w:rsidP="00EB753E">
      <w:r w:rsidRPr="007B7D7E">
        <w:t xml:space="preserve">Le Client pourra choisir lors de sa commande </w:t>
      </w:r>
      <w:r>
        <w:t xml:space="preserve">le type d’Accès pour sa Ligne </w:t>
      </w:r>
      <w:r w:rsidR="004120B6">
        <w:t>FTTH Active</w:t>
      </w:r>
    </w:p>
    <w:p w14:paraId="11EDA087" w14:textId="77777777" w:rsidR="00EB753E" w:rsidRDefault="00EB753E" w:rsidP="00EB753E">
      <w:r>
        <w:t xml:space="preserve"> </w:t>
      </w:r>
    </w:p>
    <w:p w14:paraId="64340394" w14:textId="77777777" w:rsidR="00EB753E" w:rsidRDefault="00EB753E" w:rsidP="00EB753E">
      <w:r>
        <w:t>Il existe deux (2) types d’Accès :</w:t>
      </w:r>
    </w:p>
    <w:p w14:paraId="3A7A28DF" w14:textId="77777777" w:rsidR="00EB753E" w:rsidRDefault="00EB753E" w:rsidP="00EB753E"/>
    <w:p w14:paraId="48A2AE98" w14:textId="6B0610DE" w:rsidR="00EB753E" w:rsidRDefault="00EB753E" w:rsidP="00EB753E">
      <w:pPr>
        <w:pStyle w:val="Paragraphedeliste"/>
        <w:numPr>
          <w:ilvl w:val="0"/>
          <w:numId w:val="6"/>
        </w:numPr>
      </w:pPr>
      <w:r>
        <w:t>Grand Public (GP) ;</w:t>
      </w:r>
    </w:p>
    <w:p w14:paraId="2410D88F" w14:textId="77777777" w:rsidR="00EB753E" w:rsidRDefault="00EB753E" w:rsidP="00EB753E"/>
    <w:p w14:paraId="3550A989" w14:textId="46EF4BAD" w:rsidR="00EB753E" w:rsidRPr="007B7D7E" w:rsidRDefault="00EB753E" w:rsidP="00EB753E">
      <w:pPr>
        <w:pStyle w:val="Paragraphedeliste"/>
        <w:numPr>
          <w:ilvl w:val="0"/>
          <w:numId w:val="6"/>
        </w:numPr>
      </w:pPr>
      <w:r>
        <w:t xml:space="preserve">PRO. </w:t>
      </w:r>
    </w:p>
    <w:p w14:paraId="2E8BBE53" w14:textId="77777777" w:rsidR="00EB753E" w:rsidRDefault="00EB753E" w:rsidP="00EB753E">
      <w:pPr>
        <w:rPr>
          <w:szCs w:val="16"/>
        </w:rPr>
      </w:pPr>
    </w:p>
    <w:p w14:paraId="42114C05" w14:textId="77777777" w:rsidR="00EB753E" w:rsidRDefault="00EB753E" w:rsidP="00EB753E">
      <w:pPr>
        <w:rPr>
          <w:szCs w:val="16"/>
        </w:rPr>
      </w:pPr>
      <w:r>
        <w:rPr>
          <w:szCs w:val="16"/>
        </w:rPr>
        <w:t xml:space="preserve">Les Annexes 2 décrivent les spécificités techniques de chaque type. </w:t>
      </w:r>
    </w:p>
    <w:p w14:paraId="2C9E3BCD" w14:textId="77777777" w:rsidR="00EB753E" w:rsidRPr="007B7D7E" w:rsidRDefault="00EB753E" w:rsidP="00EB753E">
      <w:pPr>
        <w:rPr>
          <w:szCs w:val="16"/>
        </w:rPr>
      </w:pPr>
    </w:p>
    <w:p w14:paraId="3FE615F7" w14:textId="1EBFC6F1" w:rsidR="0091431A" w:rsidRDefault="0091431A" w:rsidP="0091431A">
      <w:pPr>
        <w:pStyle w:val="Styletitre3"/>
      </w:pPr>
      <w:r>
        <w:t>Garantie de Temps de Rétablissement</w:t>
      </w:r>
    </w:p>
    <w:p w14:paraId="331A3146" w14:textId="11098141" w:rsidR="0091431A" w:rsidRDefault="0091431A" w:rsidP="0091431A">
      <w:r>
        <w:t>Par défaut, une Ligne FTTH Active est fournie sans Gara</w:t>
      </w:r>
      <w:r w:rsidR="00286400">
        <w:t>ntie de Temps de Rétablissement (GTR)</w:t>
      </w:r>
      <w:r w:rsidR="004934C3">
        <w:t xml:space="preserve"> individuelle</w:t>
      </w:r>
      <w:r w:rsidR="00286400">
        <w:t>.</w:t>
      </w:r>
    </w:p>
    <w:p w14:paraId="23638A63" w14:textId="4FE366C4" w:rsidR="00286400" w:rsidRDefault="00286400" w:rsidP="0091431A">
      <w:r>
        <w:t>Une option de GTR 10H peut être souscrite, pour chaque Ligne FTTH Active</w:t>
      </w:r>
      <w:bookmarkStart w:id="6" w:name="_GoBack"/>
      <w:bookmarkEnd w:id="6"/>
      <w:r>
        <w:t xml:space="preserve">, soit lors de la Commande de ladite Ligne FTTH Active, soit ultérieurement sur une Ligne FTTH Active déjà </w:t>
      </w:r>
      <w:r w:rsidR="007334C0">
        <w:t>en service</w:t>
      </w:r>
      <w:r>
        <w:t>.</w:t>
      </w:r>
    </w:p>
    <w:p w14:paraId="74F8CEF3" w14:textId="2C0BBB76" w:rsidR="00286400" w:rsidRDefault="00286400" w:rsidP="0091431A">
      <w:r>
        <w:t xml:space="preserve">En cas de souscription de cette option, le Fournisseur s’engage, en cas d’interruption totale du service sur cette Ligne, à rétablir </w:t>
      </w:r>
      <w:r w:rsidR="004934C3">
        <w:t>le service dans un délai de dix (10) H</w:t>
      </w:r>
      <w:r>
        <w:t xml:space="preserve">eures </w:t>
      </w:r>
      <w:r w:rsidR="004934C3">
        <w:t>O</w:t>
      </w:r>
      <w:r>
        <w:t>uvrables</w:t>
      </w:r>
      <w:r w:rsidR="004934C3">
        <w:t xml:space="preserve"> en Jours Ouvrables.</w:t>
      </w:r>
    </w:p>
    <w:p w14:paraId="5AEDA2EF" w14:textId="77777777" w:rsidR="007B7D7E" w:rsidRDefault="007B7D7E" w:rsidP="0091431A"/>
    <w:p w14:paraId="6957F2C1" w14:textId="722C0221" w:rsidR="007B7D7E" w:rsidRDefault="007B7D7E" w:rsidP="007B7D7E">
      <w:pPr>
        <w:rPr>
          <w:szCs w:val="16"/>
        </w:rPr>
      </w:pPr>
    </w:p>
    <w:p w14:paraId="00C89C63" w14:textId="35C30E84" w:rsidR="00F52649" w:rsidRPr="00B12F40" w:rsidRDefault="00CE5237" w:rsidP="00326DE7">
      <w:pPr>
        <w:pStyle w:val="Styletitre3"/>
      </w:pPr>
      <w:r w:rsidRPr="007B7D7E">
        <w:t>Accès Multicast TV</w:t>
      </w:r>
    </w:p>
    <w:p w14:paraId="0547E9CA" w14:textId="1D5A8DD9" w:rsidR="00E164D3" w:rsidRDefault="00E164D3" w:rsidP="00326DE7">
      <w:pPr>
        <w:rPr>
          <w:szCs w:val="16"/>
        </w:rPr>
      </w:pPr>
    </w:p>
    <w:p w14:paraId="2C32CAA6" w14:textId="437BCFA8" w:rsidR="00B2613D" w:rsidRDefault="00E164D3" w:rsidP="00326DE7">
      <w:pPr>
        <w:rPr>
          <w:szCs w:val="16"/>
        </w:rPr>
      </w:pPr>
      <w:r>
        <w:rPr>
          <w:szCs w:val="16"/>
        </w:rPr>
        <w:t xml:space="preserve">L’Accès Multicast TV est disponible uniquement </w:t>
      </w:r>
      <w:r w:rsidR="007B7D7E">
        <w:rPr>
          <w:szCs w:val="16"/>
        </w:rPr>
        <w:t xml:space="preserve">dans </w:t>
      </w:r>
      <w:proofErr w:type="gramStart"/>
      <w:r w:rsidR="007B7D7E">
        <w:rPr>
          <w:szCs w:val="16"/>
        </w:rPr>
        <w:t>la</w:t>
      </w:r>
      <w:proofErr w:type="gramEnd"/>
      <w:r w:rsidR="007B7D7E">
        <w:rPr>
          <w:szCs w:val="16"/>
        </w:rPr>
        <w:t xml:space="preserve"> cas où</w:t>
      </w:r>
      <w:r w:rsidR="00947B98">
        <w:rPr>
          <w:szCs w:val="16"/>
        </w:rPr>
        <w:t xml:space="preserve"> le Client a fait le choix du type d’Accès « </w:t>
      </w:r>
      <w:r>
        <w:rPr>
          <w:szCs w:val="16"/>
        </w:rPr>
        <w:t xml:space="preserve">Grand Public » lors de sa commande. </w:t>
      </w:r>
    </w:p>
    <w:p w14:paraId="45AFD33F" w14:textId="77777777" w:rsidR="00E164D3" w:rsidRDefault="00E164D3" w:rsidP="00326DE7">
      <w:pPr>
        <w:rPr>
          <w:szCs w:val="16"/>
        </w:rPr>
      </w:pPr>
    </w:p>
    <w:p w14:paraId="3395054B" w14:textId="2A7B1564" w:rsidR="00B2613D" w:rsidRDefault="00B2613D" w:rsidP="00326DE7">
      <w:pPr>
        <w:rPr>
          <w:szCs w:val="16"/>
        </w:rPr>
      </w:pPr>
      <w:r>
        <w:rPr>
          <w:szCs w:val="16"/>
        </w:rPr>
        <w:t>La fourniture de cet Accès Multicast TV est soumise à l’accord préalable du Fournisseur</w:t>
      </w:r>
      <w:r w:rsidR="00676E86">
        <w:rPr>
          <w:szCs w:val="16"/>
        </w:rPr>
        <w:t>, qui sera donné pour toute la durée du Contrat</w:t>
      </w:r>
      <w:r>
        <w:rPr>
          <w:szCs w:val="16"/>
        </w:rPr>
        <w:t>.</w:t>
      </w:r>
    </w:p>
    <w:p w14:paraId="2B24221C" w14:textId="77777777" w:rsidR="00612E17" w:rsidRDefault="00612E17" w:rsidP="00326DE7">
      <w:pPr>
        <w:rPr>
          <w:szCs w:val="16"/>
        </w:rPr>
      </w:pPr>
    </w:p>
    <w:p w14:paraId="243D6318" w14:textId="49C68B93" w:rsidR="00326DE7" w:rsidRDefault="0025223C" w:rsidP="00326DE7">
      <w:pPr>
        <w:rPr>
          <w:szCs w:val="16"/>
        </w:rPr>
      </w:pPr>
      <w:r>
        <w:rPr>
          <w:szCs w:val="16"/>
        </w:rPr>
        <w:t>Les spécifications de l’Accès Multicast TV sont décrites en Annexe 2</w:t>
      </w:r>
      <w:r w:rsidR="007B7D7E">
        <w:rPr>
          <w:szCs w:val="16"/>
        </w:rPr>
        <w:t>.A</w:t>
      </w:r>
      <w:r>
        <w:rPr>
          <w:szCs w:val="16"/>
        </w:rPr>
        <w:t xml:space="preserve"> du Contrat.</w:t>
      </w:r>
    </w:p>
    <w:p w14:paraId="620F434E" w14:textId="77777777" w:rsidR="00CE5237" w:rsidRPr="00CE5237" w:rsidRDefault="00CE5237" w:rsidP="00CE5237"/>
    <w:p w14:paraId="7E95F6A3" w14:textId="77777777" w:rsidR="00CE5237" w:rsidRDefault="00B55423" w:rsidP="00CE5237">
      <w:pPr>
        <w:pStyle w:val="StyleTitre2"/>
      </w:pPr>
      <w:r>
        <w:t>La composante Collecte</w:t>
      </w:r>
    </w:p>
    <w:p w14:paraId="5A23D7EE" w14:textId="77777777" w:rsidR="004E3CE0" w:rsidRDefault="004E3CE0" w:rsidP="004E3CE0">
      <w:pPr>
        <w:rPr>
          <w:szCs w:val="16"/>
        </w:rPr>
      </w:pPr>
      <w:r>
        <w:rPr>
          <w:szCs w:val="16"/>
        </w:rPr>
        <w:t xml:space="preserve">C’est une composante strictement tarifaire qui matérialise la bande passante concédée au Client pour transporter ses flux </w:t>
      </w:r>
      <w:r w:rsidR="002D366D">
        <w:rPr>
          <w:szCs w:val="16"/>
        </w:rPr>
        <w:t xml:space="preserve">unicast </w:t>
      </w:r>
      <w:r>
        <w:rPr>
          <w:szCs w:val="16"/>
        </w:rPr>
        <w:t xml:space="preserve">depuis les Locaux FTTH de ses clients jusqu’à sa Porte de </w:t>
      </w:r>
      <w:r w:rsidR="0052263A">
        <w:rPr>
          <w:szCs w:val="16"/>
        </w:rPr>
        <w:t>L</w:t>
      </w:r>
      <w:r>
        <w:rPr>
          <w:szCs w:val="16"/>
        </w:rPr>
        <w:t>ivraison.</w:t>
      </w:r>
    </w:p>
    <w:p w14:paraId="2C1FA419" w14:textId="77777777" w:rsidR="00CE5237" w:rsidRPr="00CE5237" w:rsidRDefault="00CE5237" w:rsidP="00CE5237"/>
    <w:p w14:paraId="54E7165E" w14:textId="77777777" w:rsidR="00CE5237" w:rsidRDefault="00B55423" w:rsidP="00CE5237">
      <w:pPr>
        <w:pStyle w:val="StyleTitre2"/>
      </w:pPr>
      <w:r>
        <w:t>La composante Porte de Livraison</w:t>
      </w:r>
    </w:p>
    <w:p w14:paraId="7DE258EA" w14:textId="169E9C16" w:rsidR="00EB753E" w:rsidRDefault="00410667" w:rsidP="00CE5237">
      <w:pPr>
        <w:tabs>
          <w:tab w:val="left" w:pos="0"/>
        </w:tabs>
      </w:pPr>
      <w:r>
        <w:t>L</w:t>
      </w:r>
      <w:r w:rsidR="006F4ED0">
        <w:t xml:space="preserve">a </w:t>
      </w:r>
      <w:r w:rsidR="008F2303">
        <w:t>P</w:t>
      </w:r>
      <w:r w:rsidR="006F4ED0">
        <w:t xml:space="preserve">orte </w:t>
      </w:r>
      <w:r>
        <w:t>de Livraison représente l’interface physique d’interconnexion entre l</w:t>
      </w:r>
      <w:r w:rsidR="00C67A4E">
        <w:t>e</w:t>
      </w:r>
      <w:r>
        <w:t xml:space="preserve"> </w:t>
      </w:r>
      <w:r w:rsidR="00D90C3F">
        <w:t>R</w:t>
      </w:r>
      <w:r>
        <w:t>éseau et le réseau du Client et sur laquelle le Fournisseur livre l’ensemble des Lignes FTTH Actives au Client.</w:t>
      </w:r>
    </w:p>
    <w:p w14:paraId="22CA8D15" w14:textId="77777777" w:rsidR="00CE5237" w:rsidRDefault="00CE5237" w:rsidP="00CE5237">
      <w:pPr>
        <w:tabs>
          <w:tab w:val="left" w:pos="0"/>
        </w:tabs>
      </w:pPr>
    </w:p>
    <w:p w14:paraId="4F932F2D" w14:textId="77777777" w:rsidR="00CE5237" w:rsidRDefault="00410667" w:rsidP="00CE5237">
      <w:pPr>
        <w:tabs>
          <w:tab w:val="left" w:pos="0"/>
        </w:tabs>
      </w:pPr>
      <w:r>
        <w:t>Plusieurs types d’interfaces sont compatibles avec ce service, les spécifications techniques</w:t>
      </w:r>
      <w:r w:rsidR="00C67A4E">
        <w:t xml:space="preserve"> de ces interfaces</w:t>
      </w:r>
      <w:r>
        <w:t xml:space="preserve"> sont décrites en Annexe 2 du Contrat.</w:t>
      </w:r>
    </w:p>
    <w:p w14:paraId="36C339BF" w14:textId="77777777" w:rsidR="00EB753E" w:rsidRPr="004631F5" w:rsidRDefault="00EB753E" w:rsidP="004631F5">
      <w:pPr>
        <w:tabs>
          <w:tab w:val="left" w:pos="0"/>
        </w:tabs>
      </w:pPr>
    </w:p>
    <w:p w14:paraId="63B9AEFB" w14:textId="1710BF83" w:rsidR="00EB753E" w:rsidRPr="00B12F40" w:rsidRDefault="00EB753E" w:rsidP="00B12F40">
      <w:pPr>
        <w:rPr>
          <w:szCs w:val="16"/>
        </w:rPr>
      </w:pPr>
      <w:r>
        <w:rPr>
          <w:szCs w:val="16"/>
        </w:rPr>
        <w:t xml:space="preserve">Contrairement au type d’Accès GP qui permet uniquement une livraison IP/DHCP, le type d’Accès PRO permet, en plus de la livraison IP/DHCP, de choisir une livraison L2TP. </w:t>
      </w:r>
    </w:p>
    <w:bookmarkEnd w:id="5"/>
    <w:p w14:paraId="5C85B54D" w14:textId="77777777" w:rsidR="00CE5237" w:rsidRPr="00026BD0" w:rsidRDefault="00CE5237" w:rsidP="00CE5237">
      <w:pPr>
        <w:pStyle w:val="OmniPage1"/>
        <w:rPr>
          <w:szCs w:val="16"/>
          <w:lang w:val="fr-FR"/>
        </w:rPr>
      </w:pPr>
    </w:p>
    <w:p w14:paraId="108930A7" w14:textId="77777777" w:rsidR="00CE5237" w:rsidRDefault="004F0D40" w:rsidP="00CE5237">
      <w:pPr>
        <w:pStyle w:val="StyleTitre2"/>
      </w:pPr>
      <w:bookmarkStart w:id="7" w:name="_Toc150262729"/>
      <w:r w:rsidRPr="00F25DA0">
        <w:t>Spécifications Techniques d’Accès au Service (STAS)</w:t>
      </w:r>
      <w:bookmarkEnd w:id="7"/>
    </w:p>
    <w:p w14:paraId="7A1C3CCC" w14:textId="77777777" w:rsidR="004F0D40" w:rsidRDefault="004F0D40" w:rsidP="006D44AD">
      <w:pPr>
        <w:rPr>
          <w:szCs w:val="16"/>
        </w:rPr>
      </w:pPr>
      <w:r w:rsidRPr="006D44AD">
        <w:rPr>
          <w:szCs w:val="16"/>
        </w:rPr>
        <w:t xml:space="preserve">Les </w:t>
      </w:r>
      <w:r w:rsidR="007A5CCA">
        <w:rPr>
          <w:szCs w:val="16"/>
        </w:rPr>
        <w:t>STAS, jointes en A</w:t>
      </w:r>
      <w:r w:rsidR="00274A73">
        <w:rPr>
          <w:szCs w:val="16"/>
        </w:rPr>
        <w:t>nnexe 2</w:t>
      </w:r>
      <w:r w:rsidR="00BB4062">
        <w:rPr>
          <w:szCs w:val="16"/>
        </w:rPr>
        <w:t>,</w:t>
      </w:r>
      <w:r w:rsidR="00274A73">
        <w:rPr>
          <w:szCs w:val="16"/>
        </w:rPr>
        <w:t xml:space="preserve"> </w:t>
      </w:r>
      <w:r w:rsidRPr="006D44AD">
        <w:rPr>
          <w:szCs w:val="16"/>
        </w:rPr>
        <w:t xml:space="preserve">complètent les présentes Conditions </w:t>
      </w:r>
      <w:r w:rsidR="006D44AD" w:rsidRPr="006D44AD">
        <w:rPr>
          <w:szCs w:val="16"/>
        </w:rPr>
        <w:t>Particulières</w:t>
      </w:r>
      <w:r w:rsidRPr="006D44AD">
        <w:rPr>
          <w:szCs w:val="16"/>
        </w:rPr>
        <w:t xml:space="preserve"> et précisent les modalités techniques du Service.</w:t>
      </w:r>
    </w:p>
    <w:p w14:paraId="2D1CAF74" w14:textId="77777777" w:rsidR="00B12F40" w:rsidRPr="004631F5" w:rsidRDefault="00B12F40" w:rsidP="004631F5"/>
    <w:p w14:paraId="28555EEA" w14:textId="77777777" w:rsidR="00F21CDC" w:rsidRDefault="00F21CDC" w:rsidP="00304345">
      <w:pPr>
        <w:pStyle w:val="OmniPage1"/>
        <w:tabs>
          <w:tab w:val="left" w:pos="0"/>
          <w:tab w:val="right" w:pos="5167"/>
        </w:tabs>
        <w:jc w:val="both"/>
        <w:rPr>
          <w:sz w:val="16"/>
          <w:szCs w:val="16"/>
          <w:lang w:val="fr-FR" w:eastAsia="fr-FR"/>
        </w:rPr>
      </w:pPr>
    </w:p>
    <w:p w14:paraId="6E26F3C6" w14:textId="77777777" w:rsidR="00CF1B4D" w:rsidRPr="00F25DA0" w:rsidRDefault="00915AF9" w:rsidP="00393014">
      <w:pPr>
        <w:pStyle w:val="StyleTitre1"/>
      </w:pPr>
      <w:bookmarkStart w:id="8" w:name="_Toc150262730"/>
      <w:r>
        <w:t>COMMANDE</w:t>
      </w:r>
      <w:r w:rsidR="00F226A3">
        <w:t>S</w:t>
      </w:r>
      <w:r>
        <w:t xml:space="preserve"> </w:t>
      </w:r>
      <w:r w:rsidR="00CF1B4D" w:rsidRPr="00F25DA0">
        <w:t>DU SERVICE</w:t>
      </w:r>
      <w:bookmarkEnd w:id="8"/>
    </w:p>
    <w:p w14:paraId="6762D8AE" w14:textId="633CB54B" w:rsidR="009C52D4" w:rsidRDefault="00C13006" w:rsidP="00CE5237">
      <w:pPr>
        <w:pStyle w:val="StyleTitre2"/>
      </w:pPr>
      <w:bookmarkStart w:id="9" w:name="_Toc150262732"/>
      <w:r>
        <w:t xml:space="preserve">Ligne FTTH Active </w:t>
      </w:r>
    </w:p>
    <w:p w14:paraId="561F7ED3" w14:textId="77777777" w:rsidR="00CE5237" w:rsidRDefault="005B4023" w:rsidP="00C13006">
      <w:pPr>
        <w:pStyle w:val="Styletitre3"/>
      </w:pPr>
      <w:r>
        <w:t xml:space="preserve"> </w:t>
      </w:r>
      <w:r w:rsidR="00CF1B4D" w:rsidRPr="00F25DA0">
        <w:t>Eligibilité</w:t>
      </w:r>
      <w:r w:rsidR="000D1FA6">
        <w:t xml:space="preserve"> d’une adresse</w:t>
      </w:r>
      <w:r w:rsidR="00CF1B4D" w:rsidRPr="00F25DA0">
        <w:t xml:space="preserve"> au Service</w:t>
      </w:r>
      <w:bookmarkEnd w:id="9"/>
    </w:p>
    <w:p w14:paraId="115148E9" w14:textId="13ED8510" w:rsidR="000D1FA6" w:rsidRPr="00033E65" w:rsidRDefault="000D1FA6" w:rsidP="000D1FA6">
      <w:pPr>
        <w:tabs>
          <w:tab w:val="left" w:pos="2890"/>
        </w:tabs>
      </w:pPr>
      <w:r w:rsidRPr="00917FE3">
        <w:t>Afin de tester l’éligib</w:t>
      </w:r>
      <w:r>
        <w:t>ilité d’une adresse au Service</w:t>
      </w:r>
      <w:r w:rsidRPr="00917FE3">
        <w:t xml:space="preserve">, le Fournisseur </w:t>
      </w:r>
      <w:r w:rsidR="00BB4062">
        <w:t xml:space="preserve">utilise </w:t>
      </w:r>
      <w:r w:rsidRPr="00917FE3">
        <w:t xml:space="preserve">un Outil d’Eligibilité permettant d’évaluer en temps réel l’éligibilité technique d’une adresse au Service ainsi que la présence du </w:t>
      </w:r>
      <w:r w:rsidRPr="00033E65">
        <w:t xml:space="preserve">Raccordement </w:t>
      </w:r>
      <w:r w:rsidR="008C55E1">
        <w:t xml:space="preserve">Client Final </w:t>
      </w:r>
      <w:r w:rsidRPr="00917FE3">
        <w:t>dans le Local FTTH.</w:t>
      </w:r>
    </w:p>
    <w:p w14:paraId="7666C777" w14:textId="77777777" w:rsidR="000D1FA6" w:rsidRPr="00033E65" w:rsidRDefault="000D1FA6" w:rsidP="000D1FA6">
      <w:pPr>
        <w:tabs>
          <w:tab w:val="left" w:pos="2890"/>
        </w:tabs>
      </w:pPr>
    </w:p>
    <w:p w14:paraId="5FFF229B" w14:textId="77777777" w:rsidR="000D1FA6" w:rsidRDefault="000D1FA6" w:rsidP="000D1FA6">
      <w:pPr>
        <w:tabs>
          <w:tab w:val="left" w:pos="2890"/>
        </w:tabs>
        <w:rPr>
          <w:szCs w:val="16"/>
        </w:rPr>
      </w:pPr>
      <w:r>
        <w:t>Cette éligibilité donne</w:t>
      </w:r>
      <w:r w:rsidRPr="00917FE3">
        <w:t>ra égalemen</w:t>
      </w:r>
      <w:r>
        <w:t xml:space="preserve">t l’information sur la catégorie du Raccordement du Local FTTH. </w:t>
      </w:r>
    </w:p>
    <w:p w14:paraId="59DF703F" w14:textId="77777777" w:rsidR="000D1FA6" w:rsidRDefault="000D1FA6" w:rsidP="00026BD0">
      <w:pPr>
        <w:tabs>
          <w:tab w:val="left" w:pos="2890"/>
        </w:tabs>
        <w:rPr>
          <w:szCs w:val="16"/>
        </w:rPr>
      </w:pPr>
    </w:p>
    <w:p w14:paraId="6BE1F5DA" w14:textId="77777777" w:rsidR="00F21CDC" w:rsidRDefault="00B40FCA" w:rsidP="00026BD0">
      <w:pPr>
        <w:tabs>
          <w:tab w:val="left" w:pos="2890"/>
        </w:tabs>
        <w:rPr>
          <w:szCs w:val="16"/>
        </w:rPr>
      </w:pPr>
      <w:r>
        <w:rPr>
          <w:szCs w:val="16"/>
        </w:rPr>
        <w:t>Les spécifications</w:t>
      </w:r>
      <w:r w:rsidR="001F6429">
        <w:rPr>
          <w:szCs w:val="16"/>
        </w:rPr>
        <w:t xml:space="preserve"> du service d’éligibilité</w:t>
      </w:r>
      <w:r w:rsidR="00E9334B">
        <w:rPr>
          <w:szCs w:val="16"/>
        </w:rPr>
        <w:t xml:space="preserve"> seront détaillées par les Parties au plus tard au jour de la signature des présentes.</w:t>
      </w:r>
      <w:r>
        <w:rPr>
          <w:szCs w:val="16"/>
        </w:rPr>
        <w:t xml:space="preserve"> </w:t>
      </w:r>
    </w:p>
    <w:p w14:paraId="56A1ABA6" w14:textId="77777777" w:rsidR="00915AF9" w:rsidRDefault="00915AF9" w:rsidP="00915AF9">
      <w:pPr>
        <w:rPr>
          <w:szCs w:val="16"/>
        </w:rPr>
      </w:pPr>
    </w:p>
    <w:p w14:paraId="1342D819" w14:textId="77777777" w:rsidR="00CE5237" w:rsidRDefault="005B4023" w:rsidP="00C13006">
      <w:pPr>
        <w:pStyle w:val="Styletitre3"/>
      </w:pPr>
      <w:r>
        <w:t xml:space="preserve"> </w:t>
      </w:r>
      <w:r w:rsidR="00915AF9" w:rsidRPr="00DF3B72">
        <w:t>Prise de co</w:t>
      </w:r>
      <w:r w:rsidR="00915AF9">
        <w:t>mmande</w:t>
      </w:r>
    </w:p>
    <w:p w14:paraId="0668F3ED" w14:textId="2B03F502" w:rsidR="00915AF9" w:rsidRDefault="00915AF9" w:rsidP="00915AF9">
      <w:pPr>
        <w:tabs>
          <w:tab w:val="left" w:pos="2890"/>
        </w:tabs>
        <w:rPr>
          <w:szCs w:val="16"/>
        </w:rPr>
      </w:pPr>
      <w:r>
        <w:rPr>
          <w:szCs w:val="16"/>
        </w:rPr>
        <w:t xml:space="preserve">Une commande </w:t>
      </w:r>
      <w:r w:rsidR="00B01C73">
        <w:rPr>
          <w:szCs w:val="16"/>
        </w:rPr>
        <w:t>de</w:t>
      </w:r>
      <w:r>
        <w:rPr>
          <w:szCs w:val="16"/>
        </w:rPr>
        <w:t xml:space="preserve"> Ligne FTTH Active vaut commande pour les composantes suivantes :</w:t>
      </w:r>
    </w:p>
    <w:p w14:paraId="03629176" w14:textId="1A16712F" w:rsidR="00915AF9" w:rsidRDefault="003C54F9" w:rsidP="00915AF9">
      <w:pPr>
        <w:pStyle w:val="OmniPage1"/>
        <w:numPr>
          <w:ilvl w:val="0"/>
          <w:numId w:val="8"/>
        </w:numPr>
        <w:ind w:right="45"/>
        <w:jc w:val="both"/>
        <w:rPr>
          <w:sz w:val="16"/>
          <w:lang w:val="fr-FR"/>
        </w:rPr>
      </w:pPr>
      <w:r>
        <w:rPr>
          <w:sz w:val="16"/>
          <w:lang w:val="fr-FR"/>
        </w:rPr>
        <w:t>C</w:t>
      </w:r>
      <w:r w:rsidRPr="003C54F9">
        <w:rPr>
          <w:sz w:val="16"/>
          <w:lang w:val="fr-FR"/>
        </w:rPr>
        <w:t>omposante Raccordement</w:t>
      </w:r>
      <w:r w:rsidR="00A75F97">
        <w:rPr>
          <w:sz w:val="16"/>
          <w:lang w:val="fr-FR"/>
        </w:rPr>
        <w:t xml:space="preserve"> </w:t>
      </w:r>
      <w:r w:rsidR="009648BA">
        <w:rPr>
          <w:sz w:val="16"/>
          <w:lang w:val="fr-FR"/>
        </w:rPr>
        <w:t>Client Final</w:t>
      </w:r>
      <w:r>
        <w:rPr>
          <w:sz w:val="16"/>
          <w:lang w:val="fr-FR"/>
        </w:rPr>
        <w:t>,</w:t>
      </w:r>
    </w:p>
    <w:p w14:paraId="7772FE7B" w14:textId="77777777" w:rsidR="003C54F9" w:rsidRDefault="003C54F9" w:rsidP="00915AF9">
      <w:pPr>
        <w:pStyle w:val="OmniPage1"/>
        <w:numPr>
          <w:ilvl w:val="0"/>
          <w:numId w:val="8"/>
        </w:numPr>
        <w:ind w:right="45"/>
        <w:jc w:val="both"/>
        <w:rPr>
          <w:sz w:val="16"/>
          <w:lang w:val="fr-FR"/>
        </w:rPr>
      </w:pPr>
      <w:r>
        <w:rPr>
          <w:sz w:val="16"/>
          <w:lang w:val="fr-FR"/>
        </w:rPr>
        <w:t>Composante Accès,</w:t>
      </w:r>
    </w:p>
    <w:p w14:paraId="1199B1BE" w14:textId="77777777" w:rsidR="003C54F9" w:rsidRDefault="003C54F9" w:rsidP="00915AF9">
      <w:pPr>
        <w:pStyle w:val="OmniPage1"/>
        <w:numPr>
          <w:ilvl w:val="0"/>
          <w:numId w:val="8"/>
        </w:numPr>
        <w:ind w:right="45"/>
        <w:jc w:val="both"/>
        <w:rPr>
          <w:sz w:val="16"/>
          <w:lang w:val="fr-FR"/>
        </w:rPr>
      </w:pPr>
      <w:r>
        <w:rPr>
          <w:sz w:val="16"/>
          <w:lang w:val="fr-FR"/>
        </w:rPr>
        <w:t>Composante Collecte</w:t>
      </w:r>
      <w:r w:rsidR="00B56E34">
        <w:rPr>
          <w:sz w:val="16"/>
          <w:lang w:val="fr-FR"/>
        </w:rPr>
        <w:t>,</w:t>
      </w:r>
    </w:p>
    <w:p w14:paraId="50447FA5" w14:textId="77777777" w:rsidR="00C87D1B" w:rsidRDefault="00C87D1B" w:rsidP="003C54F9">
      <w:pPr>
        <w:rPr>
          <w:szCs w:val="16"/>
        </w:rPr>
      </w:pPr>
    </w:p>
    <w:p w14:paraId="6EE1AA91" w14:textId="482836ED" w:rsidR="00D52FE5" w:rsidRDefault="00D52FE5" w:rsidP="00D52FE5">
      <w:pPr>
        <w:tabs>
          <w:tab w:val="left" w:pos="2890"/>
        </w:tabs>
        <w:rPr>
          <w:szCs w:val="16"/>
        </w:rPr>
      </w:pPr>
      <w:r>
        <w:rPr>
          <w:szCs w:val="16"/>
        </w:rPr>
        <w:t>La Commande d’un</w:t>
      </w:r>
      <w:r w:rsidR="00B5591E">
        <w:rPr>
          <w:szCs w:val="16"/>
        </w:rPr>
        <w:t>e Ligne</w:t>
      </w:r>
      <w:r>
        <w:rPr>
          <w:szCs w:val="16"/>
        </w:rPr>
        <w:t xml:space="preserve"> FTTH Acti</w:t>
      </w:r>
      <w:r w:rsidR="00B5591E">
        <w:rPr>
          <w:szCs w:val="16"/>
        </w:rPr>
        <w:t>ve</w:t>
      </w:r>
      <w:r>
        <w:rPr>
          <w:szCs w:val="16"/>
        </w:rPr>
        <w:t xml:space="preserve"> peut être réalisée via le Portail Client</w:t>
      </w:r>
      <w:r w:rsidR="00C820BF">
        <w:rPr>
          <w:szCs w:val="16"/>
        </w:rPr>
        <w:t xml:space="preserve"> ou en </w:t>
      </w:r>
      <w:proofErr w:type="spellStart"/>
      <w:r>
        <w:rPr>
          <w:szCs w:val="16"/>
        </w:rPr>
        <w:t>Webservice</w:t>
      </w:r>
      <w:proofErr w:type="spellEnd"/>
      <w:r>
        <w:rPr>
          <w:szCs w:val="16"/>
        </w:rPr>
        <w:t>.</w:t>
      </w:r>
      <w:r w:rsidR="00E81F75" w:rsidDel="00E81F75">
        <w:rPr>
          <w:szCs w:val="16"/>
        </w:rPr>
        <w:t xml:space="preserve"> </w:t>
      </w:r>
    </w:p>
    <w:p w14:paraId="62595D68" w14:textId="77777777" w:rsidR="00D52FE5" w:rsidRDefault="00D52FE5" w:rsidP="004F59B3">
      <w:pPr>
        <w:rPr>
          <w:szCs w:val="16"/>
        </w:rPr>
      </w:pPr>
    </w:p>
    <w:p w14:paraId="19614BCE" w14:textId="49D0023B" w:rsidR="0027073B" w:rsidRDefault="004F59B3" w:rsidP="004F59B3">
      <w:pPr>
        <w:rPr>
          <w:szCs w:val="16"/>
        </w:rPr>
      </w:pPr>
      <w:r>
        <w:rPr>
          <w:szCs w:val="16"/>
        </w:rPr>
        <w:t>Il est entendu que, préalablement à toute Commande de Ligne FTTH Active, le Client devra souscrire ou avoir souscrit un</w:t>
      </w:r>
      <w:r w:rsidR="00B56E34">
        <w:rPr>
          <w:szCs w:val="16"/>
        </w:rPr>
        <w:t>e</w:t>
      </w:r>
      <w:r>
        <w:rPr>
          <w:szCs w:val="16"/>
        </w:rPr>
        <w:t xml:space="preserve"> Port</w:t>
      </w:r>
      <w:r w:rsidR="00B56E34">
        <w:rPr>
          <w:szCs w:val="16"/>
        </w:rPr>
        <w:t>e</w:t>
      </w:r>
      <w:r>
        <w:rPr>
          <w:szCs w:val="16"/>
        </w:rPr>
        <w:t xml:space="preserve"> de Livraison</w:t>
      </w:r>
      <w:r w:rsidR="00D52FE5">
        <w:rPr>
          <w:szCs w:val="16"/>
        </w:rPr>
        <w:t>.</w:t>
      </w:r>
    </w:p>
    <w:p w14:paraId="44A5DC54" w14:textId="77777777" w:rsidR="0027073B" w:rsidRDefault="0027073B" w:rsidP="004F59B3">
      <w:pPr>
        <w:rPr>
          <w:szCs w:val="16"/>
        </w:rPr>
      </w:pPr>
    </w:p>
    <w:p w14:paraId="2A0248BA" w14:textId="77777777" w:rsidR="00C13006" w:rsidRDefault="00C13006" w:rsidP="00C13006">
      <w:pPr>
        <w:pStyle w:val="StyleTitre2"/>
      </w:pPr>
      <w:r w:rsidRPr="00F25DA0">
        <w:t>Prévisions de commande</w:t>
      </w:r>
    </w:p>
    <w:p w14:paraId="34ACC29D" w14:textId="77777777" w:rsidR="00C13006" w:rsidRPr="00663DAF" w:rsidRDefault="00C13006" w:rsidP="00C13006">
      <w:pPr>
        <w:rPr>
          <w:szCs w:val="16"/>
        </w:rPr>
      </w:pPr>
      <w:r w:rsidRPr="00663DAF">
        <w:rPr>
          <w:szCs w:val="16"/>
        </w:rPr>
        <w:t>Le Client transmettra au Fournisseur des prévisions de commandes</w:t>
      </w:r>
      <w:r w:rsidR="00C94F27">
        <w:rPr>
          <w:szCs w:val="16"/>
        </w:rPr>
        <w:t xml:space="preserve"> </w:t>
      </w:r>
      <w:r w:rsidR="00C94F27" w:rsidRPr="00C94F27">
        <w:rPr>
          <w:szCs w:val="16"/>
        </w:rPr>
        <w:t>t</w:t>
      </w:r>
      <w:r w:rsidR="00CD2FF3" w:rsidRPr="00C94F27">
        <w:rPr>
          <w:szCs w:val="16"/>
        </w:rPr>
        <w:t>rimestrielles</w:t>
      </w:r>
      <w:r w:rsidRPr="00663DAF">
        <w:rPr>
          <w:szCs w:val="16"/>
        </w:rPr>
        <w:t>. Ces prévisions couvriront une péri</w:t>
      </w:r>
      <w:r>
        <w:rPr>
          <w:szCs w:val="16"/>
        </w:rPr>
        <w:t>ode glissante de trois (3) mois</w:t>
      </w:r>
      <w:r w:rsidRPr="00663DAF">
        <w:rPr>
          <w:szCs w:val="16"/>
        </w:rPr>
        <w:t>.</w:t>
      </w:r>
    </w:p>
    <w:p w14:paraId="62B2DFF8" w14:textId="77777777" w:rsidR="00C13006" w:rsidRPr="00663DAF" w:rsidRDefault="00C13006" w:rsidP="00C13006">
      <w:pPr>
        <w:rPr>
          <w:szCs w:val="16"/>
        </w:rPr>
      </w:pPr>
    </w:p>
    <w:p w14:paraId="03470C42" w14:textId="77777777" w:rsidR="00C13006" w:rsidRPr="00663DAF" w:rsidRDefault="00C13006" w:rsidP="00C13006">
      <w:pPr>
        <w:tabs>
          <w:tab w:val="left" w:pos="2890"/>
        </w:tabs>
        <w:rPr>
          <w:szCs w:val="16"/>
        </w:rPr>
      </w:pPr>
      <w:r w:rsidRPr="00663DAF">
        <w:rPr>
          <w:szCs w:val="16"/>
        </w:rPr>
        <w:t xml:space="preserve">Cette prévision devra être communiquée au format conjointement défini par les Parties. </w:t>
      </w:r>
    </w:p>
    <w:p w14:paraId="57ADE750" w14:textId="77777777" w:rsidR="00C13006" w:rsidRPr="00663DAF" w:rsidRDefault="00C13006" w:rsidP="00C13006">
      <w:pPr>
        <w:tabs>
          <w:tab w:val="left" w:pos="2890"/>
        </w:tabs>
        <w:rPr>
          <w:szCs w:val="16"/>
        </w:rPr>
      </w:pPr>
    </w:p>
    <w:p w14:paraId="458FCFC4" w14:textId="030101D1" w:rsidR="00C13006" w:rsidRDefault="00C13006" w:rsidP="00C13006">
      <w:pPr>
        <w:tabs>
          <w:tab w:val="left" w:pos="2890"/>
        </w:tabs>
        <w:rPr>
          <w:szCs w:val="16"/>
        </w:rPr>
      </w:pPr>
      <w:r w:rsidRPr="00663DAF">
        <w:rPr>
          <w:szCs w:val="16"/>
        </w:rPr>
        <w:t>Ces prévisions seront utilisées par le Fournisseur pour dimensionner son réseau ainsi que ses équipes de déploiement</w:t>
      </w:r>
      <w:r w:rsidR="00EF45C6">
        <w:rPr>
          <w:szCs w:val="16"/>
        </w:rPr>
        <w:t>,</w:t>
      </w:r>
      <w:r w:rsidR="00487961">
        <w:rPr>
          <w:szCs w:val="16"/>
        </w:rPr>
        <w:t xml:space="preserve"> et</w:t>
      </w:r>
      <w:r w:rsidR="00EF45C6">
        <w:rPr>
          <w:szCs w:val="16"/>
        </w:rPr>
        <w:t xml:space="preserve"> permettront au Fournisseur</w:t>
      </w:r>
      <w:r w:rsidR="00487961">
        <w:rPr>
          <w:szCs w:val="16"/>
        </w:rPr>
        <w:t xml:space="preserve"> </w:t>
      </w:r>
      <w:r w:rsidR="00EF45C6">
        <w:rPr>
          <w:szCs w:val="16"/>
        </w:rPr>
        <w:t xml:space="preserve">de </w:t>
      </w:r>
      <w:r w:rsidR="00487961">
        <w:rPr>
          <w:szCs w:val="16"/>
        </w:rPr>
        <w:t xml:space="preserve">respecter </w:t>
      </w:r>
      <w:r w:rsidR="00EF45C6">
        <w:rPr>
          <w:szCs w:val="16"/>
        </w:rPr>
        <w:t xml:space="preserve">au mieux </w:t>
      </w:r>
      <w:r w:rsidR="00487961">
        <w:rPr>
          <w:szCs w:val="16"/>
        </w:rPr>
        <w:t>les délais de mise à disposition</w:t>
      </w:r>
      <w:r w:rsidR="00940CEF">
        <w:rPr>
          <w:szCs w:val="16"/>
        </w:rPr>
        <w:t xml:space="preserve"> indiqués en 6.2.3 du présent Contrat</w:t>
      </w:r>
      <w:r w:rsidRPr="00663DAF">
        <w:rPr>
          <w:szCs w:val="16"/>
        </w:rPr>
        <w:t>.</w:t>
      </w:r>
    </w:p>
    <w:p w14:paraId="39226BAB" w14:textId="77777777" w:rsidR="00E10BDA" w:rsidRDefault="00E10BDA" w:rsidP="00C13006">
      <w:pPr>
        <w:tabs>
          <w:tab w:val="left" w:pos="2890"/>
        </w:tabs>
        <w:rPr>
          <w:szCs w:val="16"/>
        </w:rPr>
      </w:pPr>
    </w:p>
    <w:p w14:paraId="78895450" w14:textId="129368B4" w:rsidR="00C53FD1" w:rsidRDefault="001A5526" w:rsidP="00C13006">
      <w:pPr>
        <w:tabs>
          <w:tab w:val="left" w:pos="2890"/>
        </w:tabs>
        <w:rPr>
          <w:szCs w:val="16"/>
        </w:rPr>
      </w:pPr>
      <w:r>
        <w:rPr>
          <w:szCs w:val="16"/>
        </w:rPr>
        <w:t>Les prévisions données par le Client sont indicatives, et ne sauraient en aucun cas engager le Client à commander le nombre de Portes de Livraison et/ou de Li</w:t>
      </w:r>
      <w:r w:rsidRPr="00E10BDA">
        <w:rPr>
          <w:szCs w:val="16"/>
        </w:rPr>
        <w:t>gne</w:t>
      </w:r>
      <w:r>
        <w:rPr>
          <w:szCs w:val="16"/>
        </w:rPr>
        <w:t>s</w:t>
      </w:r>
      <w:r w:rsidRPr="00E10BDA">
        <w:rPr>
          <w:szCs w:val="16"/>
        </w:rPr>
        <w:t xml:space="preserve"> FTTH </w:t>
      </w:r>
      <w:r>
        <w:rPr>
          <w:szCs w:val="16"/>
        </w:rPr>
        <w:t>Actives ou toute autre Prestation figurant dans ses prévisions.</w:t>
      </w:r>
    </w:p>
    <w:p w14:paraId="47746F0F" w14:textId="77777777" w:rsidR="009A27A4" w:rsidRDefault="009A27A4" w:rsidP="007A1A90">
      <w:pPr>
        <w:tabs>
          <w:tab w:val="left" w:pos="2890"/>
        </w:tabs>
        <w:rPr>
          <w:szCs w:val="16"/>
        </w:rPr>
      </w:pPr>
    </w:p>
    <w:p w14:paraId="58D55ECD" w14:textId="77777777" w:rsidR="003D0F20" w:rsidRPr="00CA7E87" w:rsidRDefault="000D1FA6">
      <w:pPr>
        <w:pStyle w:val="StyleTitre2"/>
      </w:pPr>
      <w:r w:rsidRPr="00CA7E87">
        <w:t>Mandat de l’Abonné</w:t>
      </w:r>
    </w:p>
    <w:p w14:paraId="51679A1B" w14:textId="77777777" w:rsidR="00CD6648" w:rsidRDefault="00CD6648" w:rsidP="000D1FA6">
      <w:r w:rsidRPr="00CD6648">
        <w:t>Le Client s’engage expressément à obtenir de l’Utilisateur Final un mandat selon le formalisme de son choix l’autorisant à agir en son nom et pour son compte pour effectuer auprès du Fournisseur les démarches nécessaires à la mise en œuvre des services du Client sur une Ligne FTTH avec, le cas échéant, la résiliation de tout ou partie des services fournis par le Fournisseur et/ou un autre opérateur sur cette Ligne FTTH.</w:t>
      </w:r>
    </w:p>
    <w:p w14:paraId="2FE04ACA" w14:textId="77777777" w:rsidR="00CD6648" w:rsidRDefault="00CD6648" w:rsidP="000D1FA6"/>
    <w:p w14:paraId="2663D75D" w14:textId="77777777" w:rsidR="00CD6648" w:rsidRDefault="00CD6648" w:rsidP="00CD6648">
      <w:r>
        <w:t xml:space="preserve">Le Client est seul responsable vis-à-vis du Fournisseur du respect, par les opérateurs auprès desquels il commercialise des offres de gros, des obligations relatives au mandat. </w:t>
      </w:r>
    </w:p>
    <w:p w14:paraId="4AA205CB" w14:textId="77777777" w:rsidR="00CD6648" w:rsidRDefault="00CD6648" w:rsidP="00CD6648"/>
    <w:p w14:paraId="3DFD9C3D" w14:textId="3E6AB0EB" w:rsidR="00CD6648" w:rsidRDefault="00CD6648" w:rsidP="00CD6648">
      <w:r>
        <w:t xml:space="preserve">En cas de construction de Raccordement </w:t>
      </w:r>
      <w:r w:rsidR="008C55E1">
        <w:t>Client Final</w:t>
      </w:r>
      <w:r>
        <w:t xml:space="preserve">, le Client s’assure d’obtenir du propriétaire d’un Local FTTH un accord lui permettant de procéder </w:t>
      </w:r>
      <w:r>
        <w:lastRenderedPageBreak/>
        <w:t xml:space="preserve">à la construction du Raccordement </w:t>
      </w:r>
      <w:r w:rsidR="008C55E1">
        <w:t>Client Final</w:t>
      </w:r>
      <w:r>
        <w:t>. Cet accord est expressément stipulé au bénéfice du Fournisseur, pour une durée de 6 mois minimum</w:t>
      </w:r>
      <w:r w:rsidR="00A75F97">
        <w:t>.</w:t>
      </w:r>
    </w:p>
    <w:p w14:paraId="44C5117D" w14:textId="77777777" w:rsidR="00CD6648" w:rsidRDefault="00CD6648" w:rsidP="00CD6648"/>
    <w:p w14:paraId="5A0CC0A8" w14:textId="61B18A8B" w:rsidR="00D97FED" w:rsidRDefault="00CD6648">
      <w:pPr>
        <w:rPr>
          <w:szCs w:val="16"/>
        </w:rPr>
      </w:pPr>
      <w:r w:rsidRPr="00CD6648">
        <w:t xml:space="preserve"> </w:t>
      </w:r>
    </w:p>
    <w:p w14:paraId="3647C48C" w14:textId="77777777" w:rsidR="00FF09C6" w:rsidRDefault="00402C1F" w:rsidP="00FF09C6">
      <w:pPr>
        <w:pStyle w:val="StyleTitre1"/>
      </w:pPr>
      <w:r>
        <w:t xml:space="preserve">DELAIS ET </w:t>
      </w:r>
      <w:r w:rsidR="004F59B3" w:rsidRPr="00F25DA0">
        <w:t xml:space="preserve">MODALITES DE </w:t>
      </w:r>
      <w:r w:rsidR="004F59B3">
        <w:t>MISE EN SERVICE</w:t>
      </w:r>
    </w:p>
    <w:p w14:paraId="7A4C0EB0" w14:textId="77777777" w:rsidR="00FF09C6" w:rsidRDefault="00FF09C6" w:rsidP="00FF09C6">
      <w:pPr>
        <w:pStyle w:val="StyleTitre2"/>
      </w:pPr>
      <w:r>
        <w:t xml:space="preserve">Mise en service </w:t>
      </w:r>
      <w:r w:rsidRPr="00F25DA0">
        <w:t>d’un</w:t>
      </w:r>
      <w:r>
        <w:t>e</w:t>
      </w:r>
      <w:r w:rsidRPr="00F25DA0">
        <w:t xml:space="preserve"> Port</w:t>
      </w:r>
      <w:r>
        <w:t>e</w:t>
      </w:r>
      <w:r w:rsidRPr="00F25DA0">
        <w:t xml:space="preserve"> de Livraison</w:t>
      </w:r>
    </w:p>
    <w:p w14:paraId="52DC825A" w14:textId="77777777" w:rsidR="00FF09C6" w:rsidRPr="00850EA7" w:rsidRDefault="00FF09C6" w:rsidP="00FF09C6">
      <w:pPr>
        <w:pStyle w:val="Styletitre3"/>
      </w:pPr>
      <w:r>
        <w:t xml:space="preserve"> </w:t>
      </w:r>
      <w:r w:rsidRPr="00850EA7">
        <w:t>Délai de mise en service</w:t>
      </w:r>
    </w:p>
    <w:p w14:paraId="70819FD1" w14:textId="77777777" w:rsidR="00FF09C6" w:rsidRDefault="00FF09C6" w:rsidP="00FF09C6">
      <w:pPr>
        <w:rPr>
          <w:szCs w:val="16"/>
        </w:rPr>
      </w:pPr>
      <w:r>
        <w:rPr>
          <w:szCs w:val="16"/>
        </w:rPr>
        <w:t xml:space="preserve">Le délai d’activation d’une Porte de Livraison est de six (6) semaines à compter de la date de prise de la Commande concernée. </w:t>
      </w:r>
    </w:p>
    <w:p w14:paraId="37DD0F0F" w14:textId="77777777" w:rsidR="00FF09C6" w:rsidRDefault="00FF09C6" w:rsidP="00FF09C6">
      <w:pPr>
        <w:rPr>
          <w:szCs w:val="16"/>
        </w:rPr>
      </w:pPr>
    </w:p>
    <w:p w14:paraId="36978F49" w14:textId="77777777" w:rsidR="00FF09C6" w:rsidRPr="00850EA7" w:rsidRDefault="00FF09C6" w:rsidP="00FF09C6">
      <w:pPr>
        <w:pStyle w:val="Styletitre3"/>
      </w:pPr>
      <w:r>
        <w:t xml:space="preserve"> </w:t>
      </w:r>
      <w:r w:rsidRPr="00850EA7">
        <w:t>Durée</w:t>
      </w:r>
    </w:p>
    <w:p w14:paraId="6F60BF61" w14:textId="47E0E1AE" w:rsidR="00FF09C6" w:rsidRPr="00034E8C" w:rsidRDefault="00FF09C6" w:rsidP="00FF09C6">
      <w:pPr>
        <w:rPr>
          <w:szCs w:val="16"/>
        </w:rPr>
      </w:pPr>
      <w:r w:rsidRPr="00034E8C">
        <w:rPr>
          <w:szCs w:val="16"/>
        </w:rPr>
        <w:t>Un</w:t>
      </w:r>
      <w:r>
        <w:rPr>
          <w:szCs w:val="16"/>
        </w:rPr>
        <w:t>e</w:t>
      </w:r>
      <w:r w:rsidRPr="00034E8C">
        <w:rPr>
          <w:szCs w:val="16"/>
        </w:rPr>
        <w:t xml:space="preserve"> Port</w:t>
      </w:r>
      <w:r>
        <w:rPr>
          <w:szCs w:val="16"/>
        </w:rPr>
        <w:t>e</w:t>
      </w:r>
      <w:r w:rsidRPr="00034E8C">
        <w:rPr>
          <w:szCs w:val="16"/>
        </w:rPr>
        <w:t xml:space="preserve"> de Livraison est souscrit</w:t>
      </w:r>
      <w:r>
        <w:rPr>
          <w:szCs w:val="16"/>
        </w:rPr>
        <w:t>e</w:t>
      </w:r>
      <w:r w:rsidRPr="00034E8C">
        <w:rPr>
          <w:szCs w:val="16"/>
        </w:rPr>
        <w:t xml:space="preserve"> pour une période initiale de douze (12) mois à compte</w:t>
      </w:r>
      <w:r>
        <w:rPr>
          <w:szCs w:val="16"/>
        </w:rPr>
        <w:t>r de sa mise en service</w:t>
      </w:r>
      <w:r w:rsidRPr="00034E8C">
        <w:rPr>
          <w:szCs w:val="16"/>
        </w:rPr>
        <w:t>. Conformément aux dispositions de l’Article 9.2 de la Convention Cadre, à l’</w:t>
      </w:r>
      <w:r>
        <w:rPr>
          <w:szCs w:val="16"/>
        </w:rPr>
        <w:t>issue de la période initiale, la</w:t>
      </w:r>
      <w:r w:rsidRPr="00034E8C">
        <w:rPr>
          <w:szCs w:val="16"/>
        </w:rPr>
        <w:t xml:space="preserve"> Port</w:t>
      </w:r>
      <w:r>
        <w:rPr>
          <w:szCs w:val="16"/>
        </w:rPr>
        <w:t>e</w:t>
      </w:r>
      <w:r w:rsidRPr="00034E8C">
        <w:rPr>
          <w:szCs w:val="16"/>
        </w:rPr>
        <w:t xml:space="preserve"> de Livraison sera tacitement reconduit</w:t>
      </w:r>
      <w:r>
        <w:rPr>
          <w:szCs w:val="16"/>
        </w:rPr>
        <w:t>e</w:t>
      </w:r>
      <w:r w:rsidRPr="00034E8C">
        <w:rPr>
          <w:szCs w:val="16"/>
        </w:rPr>
        <w:t xml:space="preserve"> pour </w:t>
      </w:r>
      <w:r>
        <w:rPr>
          <w:szCs w:val="16"/>
        </w:rPr>
        <w:t>une durée indéterminée</w:t>
      </w:r>
      <w:r w:rsidRPr="00034E8C">
        <w:rPr>
          <w:szCs w:val="16"/>
        </w:rPr>
        <w:t>, le Client pou</w:t>
      </w:r>
      <w:r>
        <w:rPr>
          <w:szCs w:val="16"/>
        </w:rPr>
        <w:t>vant alors</w:t>
      </w:r>
      <w:r w:rsidRPr="00034E8C">
        <w:rPr>
          <w:szCs w:val="16"/>
        </w:rPr>
        <w:t xml:space="preserve"> </w:t>
      </w:r>
      <w:r>
        <w:rPr>
          <w:szCs w:val="16"/>
        </w:rPr>
        <w:t xml:space="preserve">y </w:t>
      </w:r>
      <w:r w:rsidRPr="00034E8C">
        <w:rPr>
          <w:szCs w:val="16"/>
        </w:rPr>
        <w:t>mettre un terme sans pénalité, par lettre recommandée avec avis de réception adressée au Fournisseur en respectant un préavis de un (1) mois.</w:t>
      </w:r>
    </w:p>
    <w:p w14:paraId="6D9AE099" w14:textId="77777777" w:rsidR="00FF09C6" w:rsidRDefault="00FF09C6" w:rsidP="00FF09C6">
      <w:pPr>
        <w:tabs>
          <w:tab w:val="left" w:pos="2890"/>
        </w:tabs>
        <w:rPr>
          <w:szCs w:val="16"/>
        </w:rPr>
      </w:pPr>
    </w:p>
    <w:p w14:paraId="69A7513B" w14:textId="344538A2" w:rsidR="00CE5237" w:rsidRDefault="00783F6C" w:rsidP="00CE5237">
      <w:pPr>
        <w:pStyle w:val="StyleTitre2"/>
      </w:pPr>
      <w:bookmarkStart w:id="10" w:name="_Toc150262734"/>
      <w:r>
        <w:t>Mise en service d’un</w:t>
      </w:r>
      <w:r w:rsidR="00FF09C6">
        <w:t>e</w:t>
      </w:r>
      <w:r>
        <w:t xml:space="preserve"> </w:t>
      </w:r>
      <w:r w:rsidR="00FF09C6">
        <w:t xml:space="preserve">Ligne FTTH Active </w:t>
      </w:r>
    </w:p>
    <w:p w14:paraId="52E423D1" w14:textId="77777777" w:rsidR="007A6726" w:rsidRPr="00850EA7" w:rsidRDefault="00850EA7" w:rsidP="00850EA7">
      <w:pPr>
        <w:pStyle w:val="Styletitre3"/>
      </w:pPr>
      <w:r>
        <w:t xml:space="preserve"> </w:t>
      </w:r>
      <w:r w:rsidR="007A6726" w:rsidRPr="00850EA7">
        <w:t>Rendez-vous d’installation</w:t>
      </w:r>
    </w:p>
    <w:p w14:paraId="153EEB89" w14:textId="77777777" w:rsidR="00AA5D4C" w:rsidRPr="00483D0B" w:rsidRDefault="00AA5D4C" w:rsidP="00AA5D4C">
      <w:pPr>
        <w:tabs>
          <w:tab w:val="left" w:pos="2890"/>
        </w:tabs>
        <w:rPr>
          <w:szCs w:val="16"/>
        </w:rPr>
      </w:pPr>
      <w:r w:rsidRPr="00F561DB">
        <w:rPr>
          <w:szCs w:val="16"/>
        </w:rPr>
        <w:t>L’installation chez l</w:t>
      </w:r>
      <w:r>
        <w:rPr>
          <w:szCs w:val="16"/>
        </w:rPr>
        <w:t>’Utilisateur Final</w:t>
      </w:r>
      <w:r w:rsidRPr="00F561DB">
        <w:rPr>
          <w:szCs w:val="16"/>
        </w:rPr>
        <w:t xml:space="preserve"> </w:t>
      </w:r>
      <w:r>
        <w:rPr>
          <w:szCs w:val="16"/>
        </w:rPr>
        <w:t xml:space="preserve">peut </w:t>
      </w:r>
      <w:r w:rsidRPr="00F561DB">
        <w:rPr>
          <w:szCs w:val="16"/>
        </w:rPr>
        <w:t>entraîne</w:t>
      </w:r>
      <w:r>
        <w:rPr>
          <w:szCs w:val="16"/>
        </w:rPr>
        <w:t>r</w:t>
      </w:r>
      <w:r w:rsidRPr="00F561DB">
        <w:rPr>
          <w:szCs w:val="16"/>
        </w:rPr>
        <w:t xml:space="preserve"> un déplacement chez ce dernier</w:t>
      </w:r>
      <w:r>
        <w:rPr>
          <w:szCs w:val="16"/>
        </w:rPr>
        <w:t xml:space="preserve"> notamment dans le cas où il s’agit d’un premier raccordement du Local FTTH ou </w:t>
      </w:r>
      <w:r w:rsidRPr="00483D0B">
        <w:rPr>
          <w:szCs w:val="16"/>
        </w:rPr>
        <w:t>dans le cas d’un local FTTH non équipé d’un ONT</w:t>
      </w:r>
      <w:r w:rsidRPr="00F561DB">
        <w:rPr>
          <w:szCs w:val="16"/>
        </w:rPr>
        <w:t xml:space="preserve">. </w:t>
      </w:r>
      <w:r w:rsidRPr="00483D0B">
        <w:rPr>
          <w:szCs w:val="16"/>
        </w:rPr>
        <w:t>Ainsi, lors de la prise de la Commande :</w:t>
      </w:r>
    </w:p>
    <w:p w14:paraId="29DE9BBF" w14:textId="77777777" w:rsidR="00AA5D4C" w:rsidRPr="00483D0B" w:rsidRDefault="00AA5D4C" w:rsidP="00AA5D4C">
      <w:pPr>
        <w:tabs>
          <w:tab w:val="left" w:pos="2890"/>
        </w:tabs>
        <w:rPr>
          <w:szCs w:val="16"/>
        </w:rPr>
      </w:pPr>
    </w:p>
    <w:p w14:paraId="5C09B1F8" w14:textId="218AA405" w:rsidR="00267A75" w:rsidRDefault="00AA5D4C" w:rsidP="004251AF">
      <w:pPr>
        <w:pStyle w:val="Paragraphedeliste"/>
        <w:numPr>
          <w:ilvl w:val="0"/>
          <w:numId w:val="16"/>
        </w:numPr>
        <w:tabs>
          <w:tab w:val="left" w:pos="2890"/>
        </w:tabs>
        <w:rPr>
          <w:szCs w:val="16"/>
        </w:rPr>
      </w:pPr>
      <w:r w:rsidRPr="00267A75">
        <w:rPr>
          <w:szCs w:val="16"/>
        </w:rPr>
        <w:t>Lorsqu’un déplacement est nécessaire, un rendez-vous d’installation chez l’Utilisateur final doit être organisé. Le cas échéant, le Client s’engage à utiliser l’IHM</w:t>
      </w:r>
      <w:r w:rsidR="00F61394">
        <w:rPr>
          <w:szCs w:val="16"/>
        </w:rPr>
        <w:t xml:space="preserve"> ou le </w:t>
      </w:r>
      <w:proofErr w:type="spellStart"/>
      <w:r w:rsidR="00F61394">
        <w:rPr>
          <w:szCs w:val="16"/>
        </w:rPr>
        <w:t>webservice</w:t>
      </w:r>
      <w:proofErr w:type="spellEnd"/>
      <w:r w:rsidRPr="00267A75">
        <w:rPr>
          <w:szCs w:val="16"/>
        </w:rPr>
        <w:t xml:space="preserve"> mis à disposition par le Fournisseur afin de l’informer de la nécessité de prévoir un rendez-vous. Un ID « rendez-vous » est alors communiqué au Client. Cet ID de rendez-vous sera rappelé par le Client lors de la transmission de la Commande au Fournisseur.  Cet ID de rendez-vous fixe la date et créneau horaire d’intervention du Fournisseur ou de son prestataire chez l’Utilisateur Final pour la Mise en Service.</w:t>
      </w:r>
    </w:p>
    <w:p w14:paraId="7AFD7126" w14:textId="77777777" w:rsidR="00267A75" w:rsidRDefault="00267A75" w:rsidP="00267A75">
      <w:pPr>
        <w:pStyle w:val="Paragraphedeliste"/>
        <w:tabs>
          <w:tab w:val="left" w:pos="2890"/>
        </w:tabs>
        <w:rPr>
          <w:szCs w:val="16"/>
        </w:rPr>
      </w:pPr>
    </w:p>
    <w:p w14:paraId="67EABAE2" w14:textId="77777777" w:rsidR="00AA5D4C" w:rsidRPr="00267A75" w:rsidRDefault="00AA5D4C" w:rsidP="004251AF">
      <w:pPr>
        <w:pStyle w:val="Paragraphedeliste"/>
        <w:numPr>
          <w:ilvl w:val="0"/>
          <w:numId w:val="16"/>
        </w:numPr>
        <w:tabs>
          <w:tab w:val="left" w:pos="2890"/>
        </w:tabs>
        <w:rPr>
          <w:szCs w:val="16"/>
        </w:rPr>
      </w:pPr>
      <w:r w:rsidRPr="00267A75">
        <w:rPr>
          <w:szCs w:val="16"/>
        </w:rPr>
        <w:t>Lorsqu’aucun déplacement n’est nécessaire, le Client utilisera un ID normé équivalent à une absence de rendez-vous, convenu entre</w:t>
      </w:r>
      <w:r w:rsidR="00267A75">
        <w:rPr>
          <w:szCs w:val="16"/>
        </w:rPr>
        <w:t xml:space="preserve"> les Parties, dans la Commande.</w:t>
      </w:r>
    </w:p>
    <w:p w14:paraId="33106883" w14:textId="77777777" w:rsidR="00AA5D4C" w:rsidRDefault="00AA5D4C" w:rsidP="00AA5D4C">
      <w:pPr>
        <w:tabs>
          <w:tab w:val="left" w:pos="2890"/>
        </w:tabs>
        <w:rPr>
          <w:szCs w:val="16"/>
        </w:rPr>
      </w:pPr>
    </w:p>
    <w:p w14:paraId="17863F76" w14:textId="77777777" w:rsidR="00AA5D4C" w:rsidRDefault="00AA5D4C" w:rsidP="00AA5D4C">
      <w:pPr>
        <w:tabs>
          <w:tab w:val="left" w:pos="2890"/>
        </w:tabs>
        <w:rPr>
          <w:szCs w:val="16"/>
        </w:rPr>
      </w:pPr>
      <w:r w:rsidRPr="00F561DB">
        <w:rPr>
          <w:szCs w:val="16"/>
        </w:rPr>
        <w:t>Le Client est responsable vis-à-vis du Fournisseur de la présence d</w:t>
      </w:r>
      <w:r>
        <w:rPr>
          <w:szCs w:val="16"/>
        </w:rPr>
        <w:t>e l’Utilisateur Final</w:t>
      </w:r>
      <w:r w:rsidRPr="00F561DB">
        <w:rPr>
          <w:szCs w:val="16"/>
        </w:rPr>
        <w:t xml:space="preserve"> au </w:t>
      </w:r>
      <w:r>
        <w:rPr>
          <w:szCs w:val="16"/>
        </w:rPr>
        <w:t>r</w:t>
      </w:r>
      <w:r w:rsidRPr="00F561DB">
        <w:rPr>
          <w:szCs w:val="16"/>
        </w:rPr>
        <w:t xml:space="preserve">endez-vous d’installation. Le Client s’engage à payer au Fournisseur </w:t>
      </w:r>
      <w:r>
        <w:rPr>
          <w:szCs w:val="16"/>
        </w:rPr>
        <w:t xml:space="preserve">les pénalités libératoires décrites dans </w:t>
      </w:r>
      <w:r w:rsidRPr="00CE5237">
        <w:rPr>
          <w:szCs w:val="16"/>
        </w:rPr>
        <w:t>l’</w:t>
      </w:r>
      <w:r>
        <w:rPr>
          <w:szCs w:val="16"/>
        </w:rPr>
        <w:t>A</w:t>
      </w:r>
      <w:r w:rsidRPr="00CE5237">
        <w:rPr>
          <w:szCs w:val="16"/>
        </w:rPr>
        <w:t>nnexe 1</w:t>
      </w:r>
      <w:r w:rsidRPr="00B56E34">
        <w:rPr>
          <w:szCs w:val="16"/>
        </w:rPr>
        <w:t>A</w:t>
      </w:r>
      <w:r w:rsidRPr="00F561DB">
        <w:rPr>
          <w:szCs w:val="16"/>
        </w:rPr>
        <w:t xml:space="preserve"> pour toute intervention non aboutie pour faute d’absence </w:t>
      </w:r>
      <w:r>
        <w:rPr>
          <w:szCs w:val="16"/>
        </w:rPr>
        <w:t>de l’Utilisateur Final</w:t>
      </w:r>
      <w:r w:rsidRPr="00F561DB">
        <w:rPr>
          <w:szCs w:val="16"/>
        </w:rPr>
        <w:t xml:space="preserve"> au rendez-vous d’installation ou refus de raccordement </w:t>
      </w:r>
      <w:r>
        <w:rPr>
          <w:szCs w:val="16"/>
        </w:rPr>
        <w:t>de l’Utilisateur Final (</w:t>
      </w:r>
      <w:r w:rsidRPr="00BD67A0">
        <w:rPr>
          <w:szCs w:val="16"/>
        </w:rPr>
        <w:t>sous réserve de fournir au Client une liste lui permettant d’identifier les Utilisateurs Finaux concernés</w:t>
      </w:r>
      <w:r>
        <w:rPr>
          <w:szCs w:val="16"/>
        </w:rPr>
        <w:t>)</w:t>
      </w:r>
      <w:r w:rsidRPr="00F561DB">
        <w:rPr>
          <w:szCs w:val="16"/>
        </w:rPr>
        <w:t>.</w:t>
      </w:r>
    </w:p>
    <w:p w14:paraId="143D4B7D" w14:textId="77777777" w:rsidR="00AA5D4C" w:rsidRDefault="00AA5D4C" w:rsidP="00AA5D4C">
      <w:pPr>
        <w:tabs>
          <w:tab w:val="left" w:pos="2890"/>
        </w:tabs>
        <w:rPr>
          <w:szCs w:val="16"/>
        </w:rPr>
      </w:pPr>
    </w:p>
    <w:p w14:paraId="0E85C80A" w14:textId="5EC32A95" w:rsidR="00A53B1F" w:rsidRPr="00F561DB" w:rsidRDefault="00776E4E" w:rsidP="007A6726">
      <w:pPr>
        <w:tabs>
          <w:tab w:val="left" w:pos="2890"/>
        </w:tabs>
        <w:rPr>
          <w:szCs w:val="16"/>
        </w:rPr>
      </w:pPr>
      <w:r w:rsidRPr="000603A0">
        <w:rPr>
          <w:szCs w:val="16"/>
        </w:rPr>
        <w:t xml:space="preserve">Réciproquement, </w:t>
      </w:r>
      <w:r w:rsidRPr="000603A0">
        <w:t xml:space="preserve">si le Fournisseur n’est pas présent au rendez-vous, il sera redevable de pénalités au bénéfice du Client, définies en </w:t>
      </w:r>
      <w:r w:rsidR="00B46D11" w:rsidRPr="000603A0">
        <w:t>A</w:t>
      </w:r>
      <w:r w:rsidRPr="000603A0">
        <w:t>nnexe 1A.</w:t>
      </w:r>
    </w:p>
    <w:p w14:paraId="3D57E201" w14:textId="77777777" w:rsidR="007A6726" w:rsidRPr="00F561DB" w:rsidRDefault="007A6726" w:rsidP="007A6726">
      <w:pPr>
        <w:tabs>
          <w:tab w:val="left" w:pos="2890"/>
        </w:tabs>
        <w:rPr>
          <w:szCs w:val="16"/>
        </w:rPr>
      </w:pPr>
    </w:p>
    <w:p w14:paraId="6F8606F1" w14:textId="4A16BC0C" w:rsidR="007A6726" w:rsidRDefault="007A6726" w:rsidP="007A6726">
      <w:pPr>
        <w:tabs>
          <w:tab w:val="left" w:pos="2890"/>
        </w:tabs>
        <w:rPr>
          <w:szCs w:val="16"/>
        </w:rPr>
      </w:pPr>
      <w:r w:rsidRPr="00F561DB">
        <w:rPr>
          <w:szCs w:val="16"/>
        </w:rPr>
        <w:t xml:space="preserve">Le Fournisseur met à disposition du Client </w:t>
      </w:r>
      <w:r>
        <w:rPr>
          <w:szCs w:val="16"/>
        </w:rPr>
        <w:t>un</w:t>
      </w:r>
      <w:r w:rsidRPr="00F561DB">
        <w:rPr>
          <w:szCs w:val="16"/>
        </w:rPr>
        <w:t xml:space="preserve"> </w:t>
      </w:r>
      <w:r w:rsidR="00807603">
        <w:rPr>
          <w:szCs w:val="16"/>
        </w:rPr>
        <w:t>outil</w:t>
      </w:r>
      <w:r w:rsidRPr="00F561DB">
        <w:rPr>
          <w:szCs w:val="16"/>
        </w:rPr>
        <w:t xml:space="preserve"> </w:t>
      </w:r>
      <w:r>
        <w:rPr>
          <w:szCs w:val="16"/>
        </w:rPr>
        <w:t>permettant au Client de réserver, confirmer</w:t>
      </w:r>
      <w:r w:rsidR="0046384D">
        <w:rPr>
          <w:szCs w:val="16"/>
        </w:rPr>
        <w:t xml:space="preserve"> </w:t>
      </w:r>
      <w:r>
        <w:rPr>
          <w:szCs w:val="16"/>
        </w:rPr>
        <w:t>ou annuler des rendez-vous.</w:t>
      </w:r>
    </w:p>
    <w:p w14:paraId="03C54FCE" w14:textId="77777777" w:rsidR="007A6726" w:rsidRDefault="007A6726" w:rsidP="007A6726">
      <w:pPr>
        <w:tabs>
          <w:tab w:val="left" w:pos="2890"/>
        </w:tabs>
        <w:rPr>
          <w:szCs w:val="16"/>
        </w:rPr>
      </w:pPr>
    </w:p>
    <w:p w14:paraId="439335E0" w14:textId="77777777" w:rsidR="002A2F97" w:rsidRDefault="00850EA7" w:rsidP="00850EA7">
      <w:pPr>
        <w:pStyle w:val="Styletitre3"/>
      </w:pPr>
      <w:r>
        <w:t xml:space="preserve"> </w:t>
      </w:r>
      <w:r w:rsidR="00CE5237" w:rsidRPr="00850EA7">
        <w:t xml:space="preserve">Installation sur le </w:t>
      </w:r>
      <w:bookmarkEnd w:id="10"/>
      <w:r w:rsidR="001F5A8A">
        <w:t>S</w:t>
      </w:r>
      <w:r w:rsidR="001F5A8A" w:rsidRPr="00850EA7">
        <w:t xml:space="preserve">ite </w:t>
      </w:r>
      <w:r w:rsidR="002A2F97">
        <w:t>Utilisateur</w:t>
      </w:r>
    </w:p>
    <w:p w14:paraId="28A8D336" w14:textId="1E11F1B4" w:rsidR="007A6726" w:rsidRDefault="002F5300">
      <w:pPr>
        <w:tabs>
          <w:tab w:val="left" w:pos="2890"/>
        </w:tabs>
        <w:rPr>
          <w:szCs w:val="16"/>
        </w:rPr>
      </w:pPr>
      <w:r w:rsidRPr="0039700D">
        <w:rPr>
          <w:szCs w:val="16"/>
        </w:rPr>
        <w:t xml:space="preserve">Le Fournisseur raccorde </w:t>
      </w:r>
      <w:r w:rsidR="00B93E3E">
        <w:rPr>
          <w:szCs w:val="16"/>
        </w:rPr>
        <w:t>le Local FTTH</w:t>
      </w:r>
      <w:r w:rsidR="00A75F97">
        <w:rPr>
          <w:szCs w:val="16"/>
        </w:rPr>
        <w:t xml:space="preserve"> </w:t>
      </w:r>
      <w:r w:rsidRPr="0039700D">
        <w:rPr>
          <w:szCs w:val="16"/>
        </w:rPr>
        <w:t>d</w:t>
      </w:r>
      <w:r w:rsidR="005B0DD7" w:rsidRPr="0039700D">
        <w:rPr>
          <w:szCs w:val="16"/>
        </w:rPr>
        <w:t>e l’</w:t>
      </w:r>
      <w:r w:rsidR="00E6702F" w:rsidRPr="0039700D">
        <w:rPr>
          <w:szCs w:val="16"/>
        </w:rPr>
        <w:t>Utilisateur Final</w:t>
      </w:r>
      <w:r w:rsidRPr="0039700D">
        <w:rPr>
          <w:szCs w:val="16"/>
        </w:rPr>
        <w:t xml:space="preserve"> à son infrastructure optique</w:t>
      </w:r>
      <w:r w:rsidR="00B464FA" w:rsidRPr="0039700D">
        <w:rPr>
          <w:szCs w:val="16"/>
        </w:rPr>
        <w:t>, fournit</w:t>
      </w:r>
      <w:r w:rsidRPr="0039700D">
        <w:rPr>
          <w:szCs w:val="16"/>
        </w:rPr>
        <w:t xml:space="preserve"> et installe chez ce dernier un </w:t>
      </w:r>
      <w:r w:rsidR="00DB5DF5" w:rsidRPr="0039700D">
        <w:rPr>
          <w:szCs w:val="16"/>
        </w:rPr>
        <w:t>PT</w:t>
      </w:r>
      <w:r w:rsidR="00B65568">
        <w:rPr>
          <w:szCs w:val="16"/>
        </w:rPr>
        <w:t>O et un PT</w:t>
      </w:r>
      <w:r w:rsidRPr="0039700D">
        <w:rPr>
          <w:szCs w:val="16"/>
        </w:rPr>
        <w:t>.</w:t>
      </w:r>
      <w:r w:rsidR="00F7528E" w:rsidRPr="0039700D">
        <w:rPr>
          <w:szCs w:val="16"/>
        </w:rPr>
        <w:t xml:space="preserve"> Il </w:t>
      </w:r>
      <w:r w:rsidR="005F15EF" w:rsidRPr="0039700D">
        <w:rPr>
          <w:szCs w:val="16"/>
        </w:rPr>
        <w:t xml:space="preserve">valide la continuité optique du </w:t>
      </w:r>
      <w:r w:rsidR="00A75F97">
        <w:rPr>
          <w:szCs w:val="16"/>
        </w:rPr>
        <w:t>R</w:t>
      </w:r>
      <w:r w:rsidR="005F15EF" w:rsidRPr="0039700D">
        <w:rPr>
          <w:szCs w:val="16"/>
        </w:rPr>
        <w:t xml:space="preserve">accordement </w:t>
      </w:r>
      <w:r w:rsidR="009648BA">
        <w:rPr>
          <w:szCs w:val="16"/>
        </w:rPr>
        <w:t>Client Final</w:t>
      </w:r>
      <w:r w:rsidR="00F07879">
        <w:rPr>
          <w:szCs w:val="16"/>
        </w:rPr>
        <w:t xml:space="preserve"> </w:t>
      </w:r>
      <w:r w:rsidR="005F15EF" w:rsidRPr="0039700D">
        <w:rPr>
          <w:szCs w:val="16"/>
        </w:rPr>
        <w:t xml:space="preserve">au </w:t>
      </w:r>
      <w:r w:rsidR="007173DC" w:rsidRPr="0039700D">
        <w:rPr>
          <w:szCs w:val="16"/>
        </w:rPr>
        <w:t>R</w:t>
      </w:r>
      <w:r w:rsidR="005F15EF" w:rsidRPr="0039700D">
        <w:rPr>
          <w:szCs w:val="16"/>
        </w:rPr>
        <w:t>éseau.</w:t>
      </w:r>
    </w:p>
    <w:p w14:paraId="6FBB8C64" w14:textId="043FD5CC" w:rsidR="00B65568" w:rsidRDefault="00B65568">
      <w:pPr>
        <w:tabs>
          <w:tab w:val="left" w:pos="2890"/>
        </w:tabs>
        <w:rPr>
          <w:szCs w:val="16"/>
        </w:rPr>
      </w:pPr>
      <w:r>
        <w:rPr>
          <w:szCs w:val="16"/>
        </w:rPr>
        <w:t xml:space="preserve">Dans le cas où seul un PTO compatible au Service est </w:t>
      </w:r>
      <w:r w:rsidR="00482283">
        <w:rPr>
          <w:szCs w:val="16"/>
        </w:rPr>
        <w:t>préalablement installé</w:t>
      </w:r>
      <w:r>
        <w:rPr>
          <w:szCs w:val="16"/>
        </w:rPr>
        <w:t>, le Fournisseur fournit et installe chez l’Utilisateur Final un PT.</w:t>
      </w:r>
    </w:p>
    <w:p w14:paraId="0905D281" w14:textId="77777777" w:rsidR="00B65568" w:rsidRDefault="00B65568">
      <w:pPr>
        <w:tabs>
          <w:tab w:val="left" w:pos="2890"/>
        </w:tabs>
        <w:rPr>
          <w:szCs w:val="16"/>
        </w:rPr>
      </w:pPr>
    </w:p>
    <w:p w14:paraId="70F20E8E" w14:textId="77777777" w:rsidR="0032390F" w:rsidRDefault="00812FCF" w:rsidP="00676E86">
      <w:pPr>
        <w:tabs>
          <w:tab w:val="left" w:pos="2890"/>
        </w:tabs>
        <w:rPr>
          <w:szCs w:val="16"/>
        </w:rPr>
      </w:pPr>
      <w:r>
        <w:rPr>
          <w:szCs w:val="16"/>
        </w:rPr>
        <w:t>L</w:t>
      </w:r>
      <w:r w:rsidR="004A2EE2">
        <w:rPr>
          <w:szCs w:val="16"/>
        </w:rPr>
        <w:t>a validation du</w:t>
      </w:r>
      <w:r w:rsidR="005F15EF">
        <w:rPr>
          <w:szCs w:val="16"/>
        </w:rPr>
        <w:t xml:space="preserve"> bon fonctionnement </w:t>
      </w:r>
      <w:r w:rsidR="004A2EE2">
        <w:rPr>
          <w:szCs w:val="16"/>
        </w:rPr>
        <w:t xml:space="preserve">du </w:t>
      </w:r>
      <w:r w:rsidR="00D90C3F">
        <w:rPr>
          <w:szCs w:val="16"/>
        </w:rPr>
        <w:t>S</w:t>
      </w:r>
      <w:r w:rsidR="004A2EE2">
        <w:rPr>
          <w:szCs w:val="16"/>
        </w:rPr>
        <w:t xml:space="preserve">ervice est à la charge </w:t>
      </w:r>
      <w:r w:rsidR="00FF09C6">
        <w:rPr>
          <w:szCs w:val="16"/>
        </w:rPr>
        <w:t>du Client</w:t>
      </w:r>
      <w:r w:rsidR="007A6726">
        <w:rPr>
          <w:szCs w:val="16"/>
        </w:rPr>
        <w:t>. Il est de la responsabilité du Client d</w:t>
      </w:r>
      <w:r w:rsidR="00A21C6A">
        <w:rPr>
          <w:szCs w:val="16"/>
        </w:rPr>
        <w:t>e fournir, d</w:t>
      </w:r>
      <w:r w:rsidR="007A6726">
        <w:rPr>
          <w:szCs w:val="16"/>
        </w:rPr>
        <w:t xml:space="preserve">’installer et </w:t>
      </w:r>
      <w:r w:rsidR="00A21C6A">
        <w:rPr>
          <w:szCs w:val="16"/>
        </w:rPr>
        <w:t xml:space="preserve">de </w:t>
      </w:r>
      <w:r w:rsidR="007A6726">
        <w:rPr>
          <w:szCs w:val="16"/>
        </w:rPr>
        <w:t>mettre en service son Equipement Terminal</w:t>
      </w:r>
      <w:r w:rsidR="00676E86" w:rsidRPr="00676E86">
        <w:rPr>
          <w:szCs w:val="16"/>
        </w:rPr>
        <w:t xml:space="preserve"> </w:t>
      </w:r>
      <w:r w:rsidR="00676E86">
        <w:rPr>
          <w:szCs w:val="16"/>
        </w:rPr>
        <w:t>sauf si l’option d’installation de l’Equipement Terminal a été  souscrite par le Client</w:t>
      </w:r>
      <w:r w:rsidR="007939FC">
        <w:rPr>
          <w:szCs w:val="16"/>
        </w:rPr>
        <w:t xml:space="preserve">, auquel cas, le Fournisseur devra </w:t>
      </w:r>
      <w:r w:rsidR="0032390F">
        <w:rPr>
          <w:szCs w:val="16"/>
        </w:rPr>
        <w:t>faire son affaire de cette mise en service de l’Equipement Terminal dans les conditions ci-après</w:t>
      </w:r>
      <w:r w:rsidR="00676E86">
        <w:rPr>
          <w:szCs w:val="16"/>
        </w:rPr>
        <w:t>.</w:t>
      </w:r>
    </w:p>
    <w:p w14:paraId="601910E3" w14:textId="77777777" w:rsidR="0032390F" w:rsidRDefault="0032390F" w:rsidP="00676E86">
      <w:pPr>
        <w:tabs>
          <w:tab w:val="left" w:pos="2890"/>
        </w:tabs>
        <w:rPr>
          <w:szCs w:val="16"/>
        </w:rPr>
      </w:pPr>
    </w:p>
    <w:p w14:paraId="4B0797DF" w14:textId="78B34CB4" w:rsidR="00676E86" w:rsidRDefault="0032390F" w:rsidP="00676E86">
      <w:pPr>
        <w:tabs>
          <w:tab w:val="left" w:pos="2890"/>
        </w:tabs>
        <w:rPr>
          <w:szCs w:val="16"/>
        </w:rPr>
      </w:pPr>
      <w:r>
        <w:rPr>
          <w:szCs w:val="16"/>
        </w:rPr>
        <w:t>Dans le cas d’installation de l’Equipement Terminal</w:t>
      </w:r>
      <w:r w:rsidR="00B544B0">
        <w:rPr>
          <w:szCs w:val="16"/>
        </w:rPr>
        <w:t xml:space="preserve"> par le Fournisseur</w:t>
      </w:r>
      <w:r w:rsidR="00676E86">
        <w:rPr>
          <w:szCs w:val="16"/>
        </w:rPr>
        <w:t xml:space="preserve">, le Client </w:t>
      </w:r>
      <w:r>
        <w:rPr>
          <w:szCs w:val="16"/>
        </w:rPr>
        <w:t xml:space="preserve">devra </w:t>
      </w:r>
      <w:r w:rsidR="00676E86">
        <w:rPr>
          <w:szCs w:val="16"/>
        </w:rPr>
        <w:t xml:space="preserve">transmettre l’Equipement Terminal pré-paramétré ainsi que l’ensemble du matériel permettant son raccordement à l’ONT et son utilisation (alimentation, connectique) </w:t>
      </w:r>
      <w:r>
        <w:rPr>
          <w:szCs w:val="16"/>
        </w:rPr>
        <w:t xml:space="preserve">par un moyen à sa convenance à l’Utilisateur </w:t>
      </w:r>
      <w:r w:rsidR="00676E86">
        <w:rPr>
          <w:szCs w:val="16"/>
        </w:rPr>
        <w:t xml:space="preserve">Final </w:t>
      </w:r>
      <w:r w:rsidR="00676E86">
        <w:rPr>
          <w:szCs w:val="16"/>
        </w:rPr>
        <w:t xml:space="preserve">et devront être mis à disposition par ce dernier au Fournisseur lors du raccordement. </w:t>
      </w:r>
    </w:p>
    <w:p w14:paraId="31966DDA" w14:textId="31724110" w:rsidR="0032390F" w:rsidRDefault="0032390F" w:rsidP="00676E86">
      <w:pPr>
        <w:tabs>
          <w:tab w:val="left" w:pos="2890"/>
        </w:tabs>
        <w:rPr>
          <w:szCs w:val="16"/>
        </w:rPr>
      </w:pPr>
      <w:r>
        <w:rPr>
          <w:szCs w:val="16"/>
        </w:rPr>
        <w:t>Dans le cas où l’Equipement Terminal ne peut pas être mis à disposition par l’Utilisateur Final au</w:t>
      </w:r>
      <w:r w:rsidR="00055A3B">
        <w:rPr>
          <w:szCs w:val="16"/>
        </w:rPr>
        <w:t xml:space="preserve"> Fournisseur, alors ce dernier n</w:t>
      </w:r>
      <w:r>
        <w:rPr>
          <w:szCs w:val="16"/>
        </w:rPr>
        <w:t>e peut pas fournir le service et ne facturera pas le Client de la prestation.</w:t>
      </w:r>
    </w:p>
    <w:p w14:paraId="7D5A2072" w14:textId="77777777" w:rsidR="00676E86" w:rsidRDefault="00676E86" w:rsidP="00676E86">
      <w:pPr>
        <w:tabs>
          <w:tab w:val="left" w:pos="2890"/>
        </w:tabs>
        <w:rPr>
          <w:szCs w:val="16"/>
        </w:rPr>
      </w:pPr>
    </w:p>
    <w:p w14:paraId="059BBED6" w14:textId="77777777" w:rsidR="00676E86" w:rsidRDefault="00676E86" w:rsidP="00676E86">
      <w:pPr>
        <w:tabs>
          <w:tab w:val="left" w:pos="2890"/>
        </w:tabs>
        <w:rPr>
          <w:szCs w:val="16"/>
        </w:rPr>
      </w:pPr>
      <w:r>
        <w:rPr>
          <w:szCs w:val="16"/>
        </w:rPr>
        <w:t>La prestation d’installation d’Equipement Terminal par le Fournisseur correspond à une durée forfaitaire de trente (30) minutes par Local FTTH sans travaux supplémentaire.</w:t>
      </w:r>
    </w:p>
    <w:p w14:paraId="42F4D050" w14:textId="77777777" w:rsidR="00676E86" w:rsidRDefault="00676E86" w:rsidP="00676E86">
      <w:pPr>
        <w:tabs>
          <w:tab w:val="left" w:pos="2890"/>
        </w:tabs>
        <w:rPr>
          <w:szCs w:val="16"/>
        </w:rPr>
      </w:pPr>
      <w:r>
        <w:rPr>
          <w:szCs w:val="16"/>
        </w:rPr>
        <w:t>Elle comprend :</w:t>
      </w:r>
    </w:p>
    <w:p w14:paraId="44E86C39" w14:textId="77777777" w:rsidR="00676E86" w:rsidRDefault="00676E86" w:rsidP="00676E86">
      <w:pPr>
        <w:tabs>
          <w:tab w:val="left" w:pos="2890"/>
        </w:tabs>
        <w:rPr>
          <w:szCs w:val="16"/>
        </w:rPr>
      </w:pPr>
      <w:r>
        <w:rPr>
          <w:szCs w:val="16"/>
        </w:rPr>
        <w:t>- L’installation  de l’Equipement Terminal</w:t>
      </w:r>
    </w:p>
    <w:p w14:paraId="238C9469" w14:textId="77777777" w:rsidR="00676E86" w:rsidRDefault="00676E86" w:rsidP="00676E86">
      <w:pPr>
        <w:tabs>
          <w:tab w:val="left" w:pos="2890"/>
        </w:tabs>
        <w:rPr>
          <w:szCs w:val="16"/>
        </w:rPr>
      </w:pPr>
      <w:r>
        <w:rPr>
          <w:szCs w:val="16"/>
        </w:rPr>
        <w:t xml:space="preserve">- Un test de connectivité Internet. </w:t>
      </w:r>
    </w:p>
    <w:p w14:paraId="6326417B" w14:textId="77777777" w:rsidR="00676E86" w:rsidRDefault="00676E86" w:rsidP="00676E86">
      <w:pPr>
        <w:tabs>
          <w:tab w:val="left" w:pos="2890"/>
        </w:tabs>
        <w:rPr>
          <w:szCs w:val="16"/>
        </w:rPr>
      </w:pPr>
    </w:p>
    <w:p w14:paraId="345B3E38" w14:textId="04124072" w:rsidR="0075043E" w:rsidRDefault="00676E86">
      <w:pPr>
        <w:tabs>
          <w:tab w:val="left" w:pos="2890"/>
        </w:tabs>
        <w:rPr>
          <w:szCs w:val="16"/>
        </w:rPr>
      </w:pPr>
      <w:r>
        <w:rPr>
          <w:szCs w:val="16"/>
        </w:rPr>
        <w:t>La prestation ne prévoit pas de déplacement de mobilier ou d’équipement de l’Utilisateur Final. Ce dernier devra prévoir avant l’intervention du Fournisseur un accès facile et sans risque pour sa sécurité ou celle de ses biens ainsi que pour la sécurité du technicien. Si le Fournisseur juge que cette sécurité n’est pas assurée il pourra refuser de fournir le service ou ne pourra être tenu pour responsable de problème liés à l’instal</w:t>
      </w:r>
      <w:r w:rsidR="0032390F">
        <w:rPr>
          <w:szCs w:val="16"/>
        </w:rPr>
        <w:t>lation de l’Equipement Terminal.</w:t>
      </w:r>
    </w:p>
    <w:p w14:paraId="449FFB43" w14:textId="77777777" w:rsidR="00BB388B" w:rsidRDefault="00BB388B">
      <w:pPr>
        <w:tabs>
          <w:tab w:val="left" w:pos="2890"/>
        </w:tabs>
        <w:rPr>
          <w:szCs w:val="16"/>
        </w:rPr>
      </w:pPr>
    </w:p>
    <w:p w14:paraId="48771CC5" w14:textId="77777777" w:rsidR="00CE5237" w:rsidRPr="00850EA7" w:rsidRDefault="00A22FB1" w:rsidP="00850EA7">
      <w:pPr>
        <w:pStyle w:val="Styletitre3"/>
      </w:pPr>
      <w:bookmarkStart w:id="11" w:name="_Toc150262741"/>
      <w:bookmarkStart w:id="12" w:name="_Ref150912106"/>
      <w:bookmarkStart w:id="13" w:name="_Ref154485883"/>
      <w:bookmarkStart w:id="14" w:name="_Ref154503922"/>
      <w:r w:rsidRPr="00850EA7">
        <w:t xml:space="preserve">Délai de mise </w:t>
      </w:r>
      <w:r w:rsidR="00C603DD">
        <w:t>à disposition</w:t>
      </w:r>
      <w:bookmarkEnd w:id="11"/>
      <w:bookmarkEnd w:id="12"/>
      <w:bookmarkEnd w:id="13"/>
      <w:bookmarkEnd w:id="14"/>
    </w:p>
    <w:p w14:paraId="1C978CD5" w14:textId="053EA9F2" w:rsidR="00426D5B" w:rsidRDefault="00852F3A" w:rsidP="00663DAF">
      <w:pPr>
        <w:rPr>
          <w:szCs w:val="16"/>
        </w:rPr>
      </w:pPr>
      <w:r w:rsidRPr="00426D5B">
        <w:rPr>
          <w:szCs w:val="16"/>
        </w:rPr>
        <w:t xml:space="preserve">Le Fournisseur accuse réception de la </w:t>
      </w:r>
      <w:r w:rsidR="00B46D11">
        <w:rPr>
          <w:szCs w:val="16"/>
        </w:rPr>
        <w:t>C</w:t>
      </w:r>
      <w:r w:rsidRPr="00426D5B">
        <w:rPr>
          <w:szCs w:val="16"/>
        </w:rPr>
        <w:t>om</w:t>
      </w:r>
      <w:r w:rsidR="00CA48E0">
        <w:rPr>
          <w:szCs w:val="16"/>
        </w:rPr>
        <w:t>mande du Client au plus tard 2 J</w:t>
      </w:r>
      <w:r w:rsidRPr="00426D5B">
        <w:rPr>
          <w:szCs w:val="16"/>
        </w:rPr>
        <w:t xml:space="preserve">ours </w:t>
      </w:r>
      <w:r w:rsidR="00CA48E0">
        <w:rPr>
          <w:szCs w:val="16"/>
        </w:rPr>
        <w:t>O</w:t>
      </w:r>
      <w:r w:rsidRPr="00426D5B">
        <w:rPr>
          <w:szCs w:val="16"/>
        </w:rPr>
        <w:t xml:space="preserve">uvrés après envoi de la </w:t>
      </w:r>
      <w:r w:rsidR="00B46D11">
        <w:rPr>
          <w:szCs w:val="16"/>
        </w:rPr>
        <w:t>C</w:t>
      </w:r>
      <w:r w:rsidRPr="00426D5B">
        <w:rPr>
          <w:szCs w:val="16"/>
        </w:rPr>
        <w:t>ommande par le Client. La date d’envoi de cet accusé de réception correspond à la date d’acceptation par le Fournisseur de la Commande.</w:t>
      </w:r>
    </w:p>
    <w:p w14:paraId="7D0283FE" w14:textId="77777777" w:rsidR="00941F99" w:rsidRDefault="00941F99" w:rsidP="00663DAF">
      <w:pPr>
        <w:rPr>
          <w:szCs w:val="16"/>
        </w:rPr>
      </w:pPr>
    </w:p>
    <w:p w14:paraId="648EA573" w14:textId="77777777" w:rsidR="00374E92" w:rsidRDefault="00AA30D7" w:rsidP="00663DAF">
      <w:pPr>
        <w:rPr>
          <w:szCs w:val="16"/>
        </w:rPr>
      </w:pPr>
      <w:r w:rsidRPr="000603A0">
        <w:rPr>
          <w:szCs w:val="16"/>
        </w:rPr>
        <w:t xml:space="preserve">Le Fournisseur s’engage à mettre </w:t>
      </w:r>
      <w:r w:rsidR="00C13E9C" w:rsidRPr="000603A0">
        <w:rPr>
          <w:szCs w:val="16"/>
        </w:rPr>
        <w:t xml:space="preserve">à disposition </w:t>
      </w:r>
      <w:r w:rsidR="009B0465" w:rsidRPr="000603A0">
        <w:rPr>
          <w:szCs w:val="16"/>
        </w:rPr>
        <w:t>chaque Commande dans les meilleurs délais.</w:t>
      </w:r>
      <w:r w:rsidR="009B0465">
        <w:rPr>
          <w:szCs w:val="16"/>
        </w:rPr>
        <w:t xml:space="preserve"> </w:t>
      </w:r>
    </w:p>
    <w:p w14:paraId="4F6E287C" w14:textId="77777777" w:rsidR="00847A0D" w:rsidRPr="009B0465" w:rsidRDefault="00847A0D" w:rsidP="00663DAF">
      <w:pPr>
        <w:rPr>
          <w:szCs w:val="16"/>
        </w:rPr>
      </w:pPr>
    </w:p>
    <w:p w14:paraId="042737B9" w14:textId="0736BEE9" w:rsidR="00B417FF" w:rsidRDefault="006F1BED" w:rsidP="006F1BED">
      <w:pPr>
        <w:rPr>
          <w:szCs w:val="16"/>
        </w:rPr>
      </w:pPr>
      <w:r w:rsidRPr="006F1BED">
        <w:rPr>
          <w:szCs w:val="16"/>
        </w:rPr>
        <w:t xml:space="preserve">Pendant </w:t>
      </w:r>
      <w:r w:rsidRPr="00C94F27">
        <w:rPr>
          <w:szCs w:val="16"/>
        </w:rPr>
        <w:t xml:space="preserve">les </w:t>
      </w:r>
      <w:r w:rsidR="00975BA7">
        <w:rPr>
          <w:szCs w:val="16"/>
        </w:rPr>
        <w:t>douze (12)</w:t>
      </w:r>
      <w:r w:rsidRPr="00C94F27">
        <w:rPr>
          <w:szCs w:val="16"/>
        </w:rPr>
        <w:t xml:space="preserve"> mois</w:t>
      </w:r>
      <w:r w:rsidRPr="006F1BED">
        <w:rPr>
          <w:szCs w:val="16"/>
        </w:rPr>
        <w:t xml:space="preserve"> qui suivent l</w:t>
      </w:r>
      <w:r w:rsidR="00676E86">
        <w:rPr>
          <w:szCs w:val="16"/>
        </w:rPr>
        <w:t xml:space="preserve">’ajout au Contrat d’une nouvelle </w:t>
      </w:r>
      <w:proofErr w:type="gramStart"/>
      <w:r w:rsidR="00676E86">
        <w:rPr>
          <w:szCs w:val="16"/>
        </w:rPr>
        <w:t xml:space="preserve">Mandante </w:t>
      </w:r>
      <w:r w:rsidRPr="006F1BED">
        <w:rPr>
          <w:szCs w:val="16"/>
        </w:rPr>
        <w:t>,</w:t>
      </w:r>
      <w:proofErr w:type="gramEnd"/>
      <w:r w:rsidRPr="006F1BED">
        <w:rPr>
          <w:szCs w:val="16"/>
        </w:rPr>
        <w:t xml:space="preserve"> le délai de mise </w:t>
      </w:r>
      <w:r w:rsidRPr="000603A0">
        <w:rPr>
          <w:szCs w:val="16"/>
        </w:rPr>
        <w:t>à disposition du Service</w:t>
      </w:r>
      <w:r w:rsidR="00896DE0">
        <w:rPr>
          <w:szCs w:val="16"/>
        </w:rPr>
        <w:t xml:space="preserve"> </w:t>
      </w:r>
      <w:r w:rsidR="00676E86">
        <w:rPr>
          <w:szCs w:val="16"/>
        </w:rPr>
        <w:t xml:space="preserve">sur cette nouvelle </w:t>
      </w:r>
      <w:r w:rsidR="00EF45C6">
        <w:rPr>
          <w:szCs w:val="16"/>
        </w:rPr>
        <w:t>Plaque</w:t>
      </w:r>
      <w:r w:rsidRPr="000603A0">
        <w:rPr>
          <w:szCs w:val="16"/>
        </w:rPr>
        <w:t xml:space="preserve"> est donné à titre indicatif par le Fournisseur. </w:t>
      </w:r>
    </w:p>
    <w:p w14:paraId="3F75643B" w14:textId="5508BACB" w:rsidR="007939FC" w:rsidRDefault="007939FC" w:rsidP="006F1BED">
      <w:pPr>
        <w:rPr>
          <w:szCs w:val="16"/>
        </w:rPr>
      </w:pPr>
    </w:p>
    <w:p w14:paraId="284F5B83" w14:textId="6135E066" w:rsidR="006F1BED" w:rsidRPr="000603A0" w:rsidRDefault="00F578AF" w:rsidP="006F1BED">
      <w:pPr>
        <w:rPr>
          <w:szCs w:val="16"/>
        </w:rPr>
      </w:pPr>
      <w:r>
        <w:rPr>
          <w:szCs w:val="16"/>
        </w:rPr>
        <w:t>Le</w:t>
      </w:r>
      <w:r w:rsidR="006F1BED" w:rsidRPr="000603A0">
        <w:rPr>
          <w:szCs w:val="16"/>
        </w:rPr>
        <w:t xml:space="preserve"> Fournisseur indique que pour 95% des Commandes passées par le Client durant un mois donné, la mise à disposition du Service aura lieu dans un délai de </w:t>
      </w:r>
      <w:r w:rsidR="00676E86">
        <w:rPr>
          <w:szCs w:val="16"/>
        </w:rPr>
        <w:t>20</w:t>
      </w:r>
      <w:r w:rsidR="006F1BED" w:rsidRPr="000603A0">
        <w:rPr>
          <w:szCs w:val="16"/>
        </w:rPr>
        <w:t xml:space="preserve"> Jours Ouvrés à compter de l’acceptation de la Commande par le Fournisseur</w:t>
      </w:r>
    </w:p>
    <w:p w14:paraId="3CC222D7" w14:textId="5A7F8819" w:rsidR="00824684" w:rsidRDefault="006F1BED" w:rsidP="006F1BED">
      <w:pPr>
        <w:rPr>
          <w:szCs w:val="16"/>
        </w:rPr>
      </w:pPr>
      <w:r w:rsidRPr="000603A0">
        <w:rPr>
          <w:szCs w:val="16"/>
        </w:rPr>
        <w:t xml:space="preserve">Les Parties conviennent que le </w:t>
      </w:r>
      <w:r w:rsidR="00F61394" w:rsidRPr="000603A0">
        <w:rPr>
          <w:szCs w:val="16"/>
        </w:rPr>
        <w:t>non-respect</w:t>
      </w:r>
      <w:r w:rsidRPr="000603A0">
        <w:rPr>
          <w:szCs w:val="16"/>
        </w:rPr>
        <w:t xml:space="preserve"> de ce délai de mise à disposition du Service en raison d’une faute exclusive du Fournisseur </w:t>
      </w:r>
      <w:r w:rsidR="002439F6">
        <w:rPr>
          <w:szCs w:val="16"/>
        </w:rPr>
        <w:t xml:space="preserve">ou d’un de ses sous-traitants </w:t>
      </w:r>
      <w:r w:rsidRPr="000603A0">
        <w:rPr>
          <w:szCs w:val="16"/>
        </w:rPr>
        <w:t>entrainera le paiement par ce dernier de pénalités</w:t>
      </w:r>
      <w:r w:rsidR="005E6571">
        <w:rPr>
          <w:szCs w:val="16"/>
        </w:rPr>
        <w:t xml:space="preserve"> telles que définies à l’Annexe 1.A</w:t>
      </w:r>
    </w:p>
    <w:p w14:paraId="2E99D007" w14:textId="77777777" w:rsidR="005E6571" w:rsidRDefault="005E6571" w:rsidP="006F1BED">
      <w:pPr>
        <w:rPr>
          <w:szCs w:val="16"/>
        </w:rPr>
      </w:pPr>
    </w:p>
    <w:p w14:paraId="5DCE7B2D" w14:textId="1CFA3A53" w:rsidR="005E6571" w:rsidRDefault="005E6571" w:rsidP="006F1BED">
      <w:pPr>
        <w:rPr>
          <w:szCs w:val="16"/>
        </w:rPr>
      </w:pPr>
      <w:r>
        <w:rPr>
          <w:szCs w:val="16"/>
        </w:rPr>
        <w:t>Les pénalités mentionnées au présent article ont un caractère forfaitaire et libératoire définitif.</w:t>
      </w:r>
    </w:p>
    <w:p w14:paraId="758C287D" w14:textId="77777777" w:rsidR="005E6571" w:rsidRDefault="005E6571" w:rsidP="006F1BED">
      <w:pPr>
        <w:rPr>
          <w:szCs w:val="16"/>
        </w:rPr>
      </w:pPr>
    </w:p>
    <w:p w14:paraId="017F446D" w14:textId="77777777" w:rsidR="00BE0917" w:rsidRDefault="00BE0917" w:rsidP="00BE0917">
      <w:pPr>
        <w:rPr>
          <w:szCs w:val="16"/>
        </w:rPr>
      </w:pPr>
      <w:r>
        <w:rPr>
          <w:szCs w:val="16"/>
        </w:rPr>
        <w:t>Les pénalités ne seront pas dues par le Fournisseur pour cause de non-respect des délais si le retard résulte :</w:t>
      </w:r>
    </w:p>
    <w:p w14:paraId="0A70BD9A" w14:textId="6AEEA25C" w:rsidR="00BE0917" w:rsidRPr="00824684" w:rsidRDefault="00BE0917" w:rsidP="00BE0917">
      <w:pPr>
        <w:pStyle w:val="Paragraphedeliste"/>
        <w:numPr>
          <w:ilvl w:val="0"/>
          <w:numId w:val="27"/>
        </w:numPr>
        <w:contextualSpacing w:val="0"/>
        <w:jc w:val="left"/>
        <w:rPr>
          <w:szCs w:val="16"/>
        </w:rPr>
      </w:pPr>
      <w:r>
        <w:rPr>
          <w:szCs w:val="16"/>
        </w:rPr>
        <w:t>D’un cas de Force M</w:t>
      </w:r>
      <w:r w:rsidRPr="00824684">
        <w:rPr>
          <w:szCs w:val="16"/>
        </w:rPr>
        <w:t>ajeure</w:t>
      </w:r>
      <w:r w:rsidR="00CA48E0">
        <w:rPr>
          <w:szCs w:val="16"/>
        </w:rPr>
        <w:t xml:space="preserve"> tel </w:t>
      </w:r>
      <w:r w:rsidR="00AB6911">
        <w:rPr>
          <w:szCs w:val="16"/>
        </w:rPr>
        <w:t>que défini dans les Conditions Générales</w:t>
      </w:r>
    </w:p>
    <w:p w14:paraId="222672AC" w14:textId="404CC045" w:rsidR="00BE0917" w:rsidRDefault="00BE0917" w:rsidP="00BE0917">
      <w:pPr>
        <w:pStyle w:val="Paragraphedeliste"/>
        <w:numPr>
          <w:ilvl w:val="0"/>
          <w:numId w:val="27"/>
        </w:numPr>
        <w:contextualSpacing w:val="0"/>
        <w:jc w:val="left"/>
        <w:rPr>
          <w:szCs w:val="16"/>
        </w:rPr>
      </w:pPr>
      <w:r>
        <w:rPr>
          <w:szCs w:val="16"/>
        </w:rPr>
        <w:t>De f</w:t>
      </w:r>
      <w:r w:rsidRPr="00824684">
        <w:rPr>
          <w:szCs w:val="16"/>
        </w:rPr>
        <w:t>ait d’un tiers</w:t>
      </w:r>
      <w:r w:rsidR="002439F6">
        <w:rPr>
          <w:szCs w:val="16"/>
        </w:rPr>
        <w:t xml:space="preserve">, autre que </w:t>
      </w:r>
      <w:r w:rsidR="00CC78F5">
        <w:rPr>
          <w:szCs w:val="16"/>
        </w:rPr>
        <w:t xml:space="preserve">les </w:t>
      </w:r>
      <w:r w:rsidR="002439F6">
        <w:rPr>
          <w:szCs w:val="16"/>
        </w:rPr>
        <w:t>personne</w:t>
      </w:r>
      <w:r w:rsidR="00CC78F5">
        <w:rPr>
          <w:szCs w:val="16"/>
        </w:rPr>
        <w:t>s</w:t>
      </w:r>
      <w:r w:rsidR="002439F6">
        <w:rPr>
          <w:szCs w:val="16"/>
        </w:rPr>
        <w:t xml:space="preserve"> intervenant pour le compte du Fournisseur</w:t>
      </w:r>
    </w:p>
    <w:p w14:paraId="76B097BB" w14:textId="79AA4942" w:rsidR="00E01276" w:rsidRDefault="00CC78F5" w:rsidP="00BE0917">
      <w:pPr>
        <w:pStyle w:val="Paragraphedeliste"/>
        <w:numPr>
          <w:ilvl w:val="0"/>
          <w:numId w:val="27"/>
        </w:numPr>
        <w:contextualSpacing w:val="0"/>
        <w:jc w:val="left"/>
        <w:rPr>
          <w:szCs w:val="16"/>
        </w:rPr>
      </w:pPr>
      <w:r w:rsidRPr="00CC78F5">
        <w:rPr>
          <w:szCs w:val="16"/>
        </w:rPr>
        <w:t>De problématique rencontrée sur des infrastructures d’un tiers</w:t>
      </w:r>
    </w:p>
    <w:p w14:paraId="3809F887" w14:textId="48A9E622" w:rsidR="00BE0917" w:rsidRPr="00824684" w:rsidRDefault="00BE0917" w:rsidP="00BE0917">
      <w:pPr>
        <w:pStyle w:val="Paragraphedeliste"/>
        <w:numPr>
          <w:ilvl w:val="0"/>
          <w:numId w:val="27"/>
        </w:numPr>
        <w:contextualSpacing w:val="0"/>
        <w:jc w:val="left"/>
        <w:rPr>
          <w:szCs w:val="16"/>
        </w:rPr>
      </w:pPr>
      <w:r>
        <w:rPr>
          <w:szCs w:val="16"/>
        </w:rPr>
        <w:t>Du n</w:t>
      </w:r>
      <w:r w:rsidR="00A01F3E">
        <w:rPr>
          <w:szCs w:val="16"/>
        </w:rPr>
        <w:t>on-respect du Client</w:t>
      </w:r>
      <w:r w:rsidRPr="00824684">
        <w:rPr>
          <w:szCs w:val="16"/>
        </w:rPr>
        <w:t xml:space="preserve"> de ses obligations contractuelles</w:t>
      </w:r>
      <w:r w:rsidR="00975BA7" w:rsidRPr="00975BA7">
        <w:rPr>
          <w:sz w:val="20"/>
        </w:rPr>
        <w:t xml:space="preserve"> </w:t>
      </w:r>
      <w:r w:rsidR="00975BA7" w:rsidRPr="00975BA7">
        <w:rPr>
          <w:szCs w:val="16"/>
        </w:rPr>
        <w:t>ayant une incidence sur le Raccordement Client Final</w:t>
      </w:r>
    </w:p>
    <w:p w14:paraId="71903289" w14:textId="5FD7A68B" w:rsidR="00BE0917" w:rsidRPr="00824684" w:rsidRDefault="00BE0917" w:rsidP="00BE0917">
      <w:pPr>
        <w:pStyle w:val="Paragraphedeliste"/>
        <w:numPr>
          <w:ilvl w:val="0"/>
          <w:numId w:val="27"/>
        </w:numPr>
        <w:contextualSpacing w:val="0"/>
        <w:jc w:val="left"/>
        <w:rPr>
          <w:szCs w:val="16"/>
        </w:rPr>
      </w:pPr>
      <w:r>
        <w:rPr>
          <w:szCs w:val="16"/>
        </w:rPr>
        <w:t>De d</w:t>
      </w:r>
      <w:r w:rsidRPr="00824684">
        <w:rPr>
          <w:szCs w:val="16"/>
        </w:rPr>
        <w:t>ifficultés de construction</w:t>
      </w:r>
      <w:r w:rsidR="00B216DE">
        <w:rPr>
          <w:szCs w:val="16"/>
        </w:rPr>
        <w:t xml:space="preserve"> sur le Raccordement </w:t>
      </w:r>
      <w:r w:rsidR="009648BA">
        <w:rPr>
          <w:szCs w:val="16"/>
        </w:rPr>
        <w:t xml:space="preserve">Client Final </w:t>
      </w:r>
      <w:r w:rsidR="00CC78F5">
        <w:rPr>
          <w:szCs w:val="16"/>
        </w:rPr>
        <w:t>tels qu’indiqué à l’article 6.2.4</w:t>
      </w:r>
    </w:p>
    <w:p w14:paraId="43EFB20C" w14:textId="77777777" w:rsidR="00BE0917" w:rsidRPr="00824684" w:rsidRDefault="00BE0917" w:rsidP="00BE0917">
      <w:pPr>
        <w:pStyle w:val="Paragraphedeliste"/>
        <w:numPr>
          <w:ilvl w:val="0"/>
          <w:numId w:val="27"/>
        </w:numPr>
        <w:contextualSpacing w:val="0"/>
        <w:jc w:val="left"/>
        <w:rPr>
          <w:szCs w:val="16"/>
        </w:rPr>
      </w:pPr>
      <w:r>
        <w:rPr>
          <w:szCs w:val="16"/>
        </w:rPr>
        <w:t>De l’a</w:t>
      </w:r>
      <w:r w:rsidRPr="00824684">
        <w:rPr>
          <w:szCs w:val="16"/>
        </w:rPr>
        <w:t>bsence du Client Final au RDV</w:t>
      </w:r>
    </w:p>
    <w:p w14:paraId="3CF7C8F8" w14:textId="77777777" w:rsidR="00574F10" w:rsidRDefault="00BE0917" w:rsidP="00BE0917">
      <w:pPr>
        <w:pStyle w:val="Paragraphedeliste"/>
        <w:numPr>
          <w:ilvl w:val="0"/>
          <w:numId w:val="27"/>
        </w:numPr>
        <w:contextualSpacing w:val="0"/>
        <w:jc w:val="left"/>
        <w:rPr>
          <w:szCs w:val="16"/>
        </w:rPr>
      </w:pPr>
      <w:r>
        <w:rPr>
          <w:szCs w:val="16"/>
        </w:rPr>
        <w:t>D’une  date</w:t>
      </w:r>
      <w:r w:rsidRPr="00824684">
        <w:rPr>
          <w:szCs w:val="16"/>
        </w:rPr>
        <w:t xml:space="preserve"> de RDV tardive</w:t>
      </w:r>
      <w:r>
        <w:rPr>
          <w:szCs w:val="16"/>
        </w:rPr>
        <w:t xml:space="preserve"> choisie</w:t>
      </w:r>
      <w:r w:rsidRPr="00824684">
        <w:rPr>
          <w:szCs w:val="16"/>
        </w:rPr>
        <w:t xml:space="preserve"> par </w:t>
      </w:r>
      <w:r>
        <w:rPr>
          <w:szCs w:val="16"/>
        </w:rPr>
        <w:t xml:space="preserve"> l’Utilisateur Final ne permettant pas au Fournisseur d’intervenir dans le délai contractuel</w:t>
      </w:r>
      <w:r w:rsidRPr="00824684">
        <w:rPr>
          <w:szCs w:val="16"/>
        </w:rPr>
        <w:t xml:space="preserve"> alors que des créneaux de rendez-vous</w:t>
      </w:r>
      <w:r>
        <w:rPr>
          <w:szCs w:val="16"/>
        </w:rPr>
        <w:t xml:space="preserve"> plus tôt</w:t>
      </w:r>
      <w:r w:rsidRPr="00824684">
        <w:rPr>
          <w:szCs w:val="16"/>
        </w:rPr>
        <w:t xml:space="preserve"> étaient disponibles</w:t>
      </w:r>
      <w:r>
        <w:rPr>
          <w:szCs w:val="16"/>
        </w:rPr>
        <w:t>.</w:t>
      </w:r>
    </w:p>
    <w:p w14:paraId="5D8E4F00" w14:textId="08E5A03F" w:rsidR="00BE0917" w:rsidRDefault="00BE0917" w:rsidP="00BE0917">
      <w:pPr>
        <w:pStyle w:val="Paragraphedeliste"/>
        <w:numPr>
          <w:ilvl w:val="0"/>
          <w:numId w:val="27"/>
        </w:numPr>
        <w:contextualSpacing w:val="0"/>
        <w:jc w:val="left"/>
        <w:rPr>
          <w:szCs w:val="16"/>
        </w:rPr>
      </w:pPr>
      <w:r>
        <w:rPr>
          <w:szCs w:val="16"/>
        </w:rPr>
        <w:t>De décalage de RDV à la demande du Client ou de l’Utilisateur Final</w:t>
      </w:r>
    </w:p>
    <w:p w14:paraId="10F2A47D" w14:textId="6EAB6688" w:rsidR="0059589A" w:rsidRDefault="0059589A" w:rsidP="00BE0917">
      <w:pPr>
        <w:pStyle w:val="Paragraphedeliste"/>
        <w:numPr>
          <w:ilvl w:val="0"/>
          <w:numId w:val="27"/>
        </w:numPr>
        <w:contextualSpacing w:val="0"/>
        <w:jc w:val="left"/>
        <w:rPr>
          <w:szCs w:val="16"/>
        </w:rPr>
      </w:pPr>
      <w:r>
        <w:rPr>
          <w:szCs w:val="16"/>
        </w:rPr>
        <w:t>D’un raccordement hors des limites des conditions de distances comme précisé à l’Article 4.1</w:t>
      </w:r>
    </w:p>
    <w:p w14:paraId="7BAB537D" w14:textId="77777777" w:rsidR="00B36401" w:rsidRPr="006F1BED" w:rsidRDefault="00B36401" w:rsidP="004631F5">
      <w:pPr>
        <w:rPr>
          <w:szCs w:val="16"/>
        </w:rPr>
      </w:pPr>
    </w:p>
    <w:p w14:paraId="76AECB9B" w14:textId="1BF404F9" w:rsidR="00433E80" w:rsidRPr="009B0465" w:rsidRDefault="003C310D" w:rsidP="00663DAF">
      <w:pPr>
        <w:rPr>
          <w:szCs w:val="16"/>
        </w:rPr>
      </w:pPr>
      <w:r w:rsidRPr="003C310D">
        <w:rPr>
          <w:szCs w:val="16"/>
        </w:rPr>
        <w:t xml:space="preserve">Le délai de mise en service est comptabilisé à partir de </w:t>
      </w:r>
      <w:r w:rsidR="00730C9F">
        <w:rPr>
          <w:szCs w:val="16"/>
        </w:rPr>
        <w:t>la réception de la Commande par le</w:t>
      </w:r>
      <w:r w:rsidR="009541F6">
        <w:rPr>
          <w:szCs w:val="16"/>
        </w:rPr>
        <w:t xml:space="preserve"> </w:t>
      </w:r>
      <w:proofErr w:type="gramStart"/>
      <w:r w:rsidR="009541F6">
        <w:rPr>
          <w:szCs w:val="16"/>
        </w:rPr>
        <w:t>Fournisseur</w:t>
      </w:r>
      <w:r w:rsidR="00730C9F">
        <w:rPr>
          <w:szCs w:val="16"/>
        </w:rPr>
        <w:t xml:space="preserve"> </w:t>
      </w:r>
      <w:r w:rsidRPr="003C310D">
        <w:rPr>
          <w:szCs w:val="16"/>
        </w:rPr>
        <w:t>.</w:t>
      </w:r>
      <w:proofErr w:type="gramEnd"/>
      <w:r w:rsidRPr="003C310D">
        <w:rPr>
          <w:szCs w:val="16"/>
        </w:rPr>
        <w:t xml:space="preserve"> Il se termine par l’envoi de l’</w:t>
      </w:r>
      <w:r w:rsidR="009B0465">
        <w:rPr>
          <w:szCs w:val="16"/>
        </w:rPr>
        <w:t>A</w:t>
      </w:r>
      <w:r w:rsidRPr="003C310D">
        <w:rPr>
          <w:szCs w:val="16"/>
        </w:rPr>
        <w:t xml:space="preserve">vis de mise </w:t>
      </w:r>
      <w:r w:rsidR="009B0465">
        <w:rPr>
          <w:szCs w:val="16"/>
        </w:rPr>
        <w:t>à disposition du</w:t>
      </w:r>
      <w:r w:rsidRPr="003C310D">
        <w:rPr>
          <w:szCs w:val="16"/>
        </w:rPr>
        <w:t xml:space="preserve"> </w:t>
      </w:r>
      <w:r w:rsidR="009B0465">
        <w:rPr>
          <w:szCs w:val="16"/>
        </w:rPr>
        <w:t>S</w:t>
      </w:r>
      <w:r w:rsidRPr="003C310D">
        <w:rPr>
          <w:szCs w:val="16"/>
        </w:rPr>
        <w:t>ervice au Client.</w:t>
      </w:r>
    </w:p>
    <w:p w14:paraId="2AC5FA69" w14:textId="77777777" w:rsidR="00BB180B" w:rsidRDefault="00BB180B" w:rsidP="00663DAF">
      <w:pPr>
        <w:rPr>
          <w:szCs w:val="16"/>
        </w:rPr>
      </w:pPr>
    </w:p>
    <w:p w14:paraId="2A152407" w14:textId="04856217" w:rsidR="00D92BA7" w:rsidRPr="00D92BA7" w:rsidRDefault="00D92BA7" w:rsidP="00D92BA7">
      <w:pPr>
        <w:pStyle w:val="Styletitre3"/>
      </w:pPr>
      <w:r w:rsidRPr="00D92BA7">
        <w:t>Difficultés de construction</w:t>
      </w:r>
      <w:r w:rsidR="00B216DE">
        <w:t xml:space="preserve"> sur le Raccordement</w:t>
      </w:r>
      <w:r w:rsidR="009648BA">
        <w:t xml:space="preserve"> </w:t>
      </w:r>
      <w:r w:rsidR="009648BA">
        <w:rPr>
          <w:szCs w:val="16"/>
        </w:rPr>
        <w:t>Client Final</w:t>
      </w:r>
    </w:p>
    <w:p w14:paraId="7A7FFE09" w14:textId="7765D986" w:rsidR="001E59E5" w:rsidRPr="00B216DE" w:rsidRDefault="00B216DE" w:rsidP="00B216DE">
      <w:pPr>
        <w:rPr>
          <w:szCs w:val="16"/>
        </w:rPr>
      </w:pPr>
      <w:r w:rsidRPr="00B216DE">
        <w:rPr>
          <w:szCs w:val="16"/>
        </w:rPr>
        <w:t>Sont notamment et non exclusivement consi</w:t>
      </w:r>
      <w:r>
        <w:rPr>
          <w:szCs w:val="16"/>
        </w:rPr>
        <w:t xml:space="preserve">dérées comme des difficultés de </w:t>
      </w:r>
      <w:r w:rsidRPr="00B216DE">
        <w:rPr>
          <w:szCs w:val="16"/>
        </w:rPr>
        <w:t>construction</w:t>
      </w:r>
      <w:r>
        <w:rPr>
          <w:szCs w:val="16"/>
        </w:rPr>
        <w:t xml:space="preserve"> sur le Raccordement </w:t>
      </w:r>
      <w:r w:rsidR="009648BA">
        <w:rPr>
          <w:szCs w:val="16"/>
        </w:rPr>
        <w:t xml:space="preserve">Client Final </w:t>
      </w:r>
      <w:r w:rsidRPr="00B216DE">
        <w:rPr>
          <w:szCs w:val="16"/>
        </w:rPr>
        <w:t>les cas suivants :</w:t>
      </w:r>
    </w:p>
    <w:p w14:paraId="240F4708" w14:textId="204119A8" w:rsidR="00B216DE" w:rsidRDefault="00B216DE" w:rsidP="00B216DE">
      <w:pPr>
        <w:pStyle w:val="Paragraphedeliste"/>
        <w:numPr>
          <w:ilvl w:val="0"/>
          <w:numId w:val="27"/>
        </w:numPr>
        <w:tabs>
          <w:tab w:val="num" w:pos="907"/>
        </w:tabs>
        <w:rPr>
          <w:szCs w:val="16"/>
        </w:rPr>
      </w:pPr>
      <w:r w:rsidRPr="00B216DE">
        <w:rPr>
          <w:szCs w:val="16"/>
        </w:rPr>
        <w:t>l’accès règlementé ou interdiction de passage,</w:t>
      </w:r>
    </w:p>
    <w:p w14:paraId="3F227B9E" w14:textId="28ED3FE8" w:rsidR="001E59E5" w:rsidRPr="00B216DE" w:rsidRDefault="001E59E5" w:rsidP="00B216DE">
      <w:pPr>
        <w:pStyle w:val="Paragraphedeliste"/>
        <w:numPr>
          <w:ilvl w:val="0"/>
          <w:numId w:val="27"/>
        </w:numPr>
        <w:tabs>
          <w:tab w:val="num" w:pos="907"/>
        </w:tabs>
        <w:rPr>
          <w:szCs w:val="16"/>
        </w:rPr>
      </w:pPr>
      <w:r>
        <w:rPr>
          <w:szCs w:val="16"/>
        </w:rPr>
        <w:lastRenderedPageBreak/>
        <w:t xml:space="preserve">travaux </w:t>
      </w:r>
      <w:proofErr w:type="spellStart"/>
      <w:r>
        <w:rPr>
          <w:szCs w:val="16"/>
        </w:rPr>
        <w:t>nécéssaires</w:t>
      </w:r>
      <w:proofErr w:type="spellEnd"/>
      <w:r>
        <w:rPr>
          <w:szCs w:val="16"/>
        </w:rPr>
        <w:t xml:space="preserve"> sur le domaine privé</w:t>
      </w:r>
    </w:p>
    <w:p w14:paraId="7924B520" w14:textId="6E4601C4" w:rsidR="00B216DE" w:rsidRPr="00B216DE" w:rsidRDefault="00B216DE" w:rsidP="00B216DE">
      <w:pPr>
        <w:pStyle w:val="Paragraphedeliste"/>
        <w:numPr>
          <w:ilvl w:val="0"/>
          <w:numId w:val="27"/>
        </w:numPr>
        <w:tabs>
          <w:tab w:val="num" w:pos="907"/>
        </w:tabs>
        <w:rPr>
          <w:szCs w:val="16"/>
        </w:rPr>
      </w:pPr>
      <w:r w:rsidRPr="00B216DE">
        <w:rPr>
          <w:szCs w:val="16"/>
        </w:rPr>
        <w:t>le passage sur un site protégé (parcs naturels par exemple),</w:t>
      </w:r>
    </w:p>
    <w:p w14:paraId="104587CF" w14:textId="6DCDA3F3" w:rsidR="00B216DE" w:rsidRDefault="00B216DE" w:rsidP="00B216DE">
      <w:pPr>
        <w:pStyle w:val="Paragraphedeliste"/>
        <w:numPr>
          <w:ilvl w:val="0"/>
          <w:numId w:val="27"/>
        </w:numPr>
        <w:tabs>
          <w:tab w:val="num" w:pos="907"/>
        </w:tabs>
        <w:rPr>
          <w:szCs w:val="16"/>
        </w:rPr>
      </w:pPr>
      <w:r w:rsidRPr="00B216DE">
        <w:rPr>
          <w:szCs w:val="16"/>
        </w:rPr>
        <w:t>les configurations architecturales spéciales (châteaux, parki</w:t>
      </w:r>
      <w:r w:rsidR="00A17F2B">
        <w:rPr>
          <w:szCs w:val="16"/>
        </w:rPr>
        <w:t>ngs, caves, clochers, usines …),</w:t>
      </w:r>
    </w:p>
    <w:p w14:paraId="6AF17C70" w14:textId="7CEA48AC" w:rsidR="00A17F2B" w:rsidRDefault="00C3559D" w:rsidP="00A17F2B">
      <w:pPr>
        <w:pStyle w:val="Paragraphedeliste"/>
        <w:numPr>
          <w:ilvl w:val="0"/>
          <w:numId w:val="27"/>
        </w:numPr>
        <w:tabs>
          <w:tab w:val="num" w:pos="907"/>
        </w:tabs>
        <w:rPr>
          <w:szCs w:val="16"/>
        </w:rPr>
      </w:pPr>
      <w:r>
        <w:rPr>
          <w:szCs w:val="16"/>
        </w:rPr>
        <w:t>p</w:t>
      </w:r>
      <w:r w:rsidR="00A17F2B">
        <w:rPr>
          <w:szCs w:val="16"/>
        </w:rPr>
        <w:t>résence d’obstacles naturels (cours d’eau, ravin, etc…) ou artificiels (zones souterraines, murs de soutien, points hauts, etc…),</w:t>
      </w:r>
    </w:p>
    <w:p w14:paraId="1CD34357" w14:textId="651BE6B4" w:rsidR="00A17F2B" w:rsidRPr="00A17F2B" w:rsidRDefault="00C3559D" w:rsidP="00A17F2B">
      <w:pPr>
        <w:pStyle w:val="Paragraphedeliste"/>
        <w:numPr>
          <w:ilvl w:val="0"/>
          <w:numId w:val="27"/>
        </w:numPr>
        <w:tabs>
          <w:tab w:val="num" w:pos="907"/>
        </w:tabs>
        <w:rPr>
          <w:szCs w:val="16"/>
        </w:rPr>
      </w:pPr>
      <w:r>
        <w:rPr>
          <w:szCs w:val="16"/>
        </w:rPr>
        <w:t>cheminement en domai</w:t>
      </w:r>
      <w:r w:rsidR="00A17F2B">
        <w:rPr>
          <w:szCs w:val="16"/>
        </w:rPr>
        <w:t>ne privé saturé, inutilisable,</w:t>
      </w:r>
    </w:p>
    <w:p w14:paraId="5677DB5A" w14:textId="7489D539" w:rsidR="00B216DE" w:rsidRPr="00B216DE" w:rsidRDefault="00B216DE" w:rsidP="00B216DE">
      <w:pPr>
        <w:pStyle w:val="Paragraphedeliste"/>
        <w:numPr>
          <w:ilvl w:val="0"/>
          <w:numId w:val="27"/>
        </w:numPr>
        <w:tabs>
          <w:tab w:val="num" w:pos="907"/>
        </w:tabs>
        <w:rPr>
          <w:szCs w:val="16"/>
        </w:rPr>
      </w:pPr>
      <w:r w:rsidRPr="00B216DE">
        <w:rPr>
          <w:szCs w:val="16"/>
        </w:rPr>
        <w:t>les percements de murs d’une épaisse</w:t>
      </w:r>
      <w:r w:rsidR="00A17F2B">
        <w:rPr>
          <w:szCs w:val="16"/>
        </w:rPr>
        <w:t>ur supérieure à 30 centimètres,</w:t>
      </w:r>
    </w:p>
    <w:p w14:paraId="4F26ECA7" w14:textId="614913C6" w:rsidR="00B216DE" w:rsidRPr="00B216DE" w:rsidRDefault="00B216DE" w:rsidP="00B216DE">
      <w:pPr>
        <w:pStyle w:val="Paragraphedeliste"/>
        <w:numPr>
          <w:ilvl w:val="0"/>
          <w:numId w:val="27"/>
        </w:numPr>
        <w:tabs>
          <w:tab w:val="num" w:pos="907"/>
        </w:tabs>
        <w:rPr>
          <w:szCs w:val="16"/>
        </w:rPr>
      </w:pPr>
      <w:r w:rsidRPr="00B216DE">
        <w:rPr>
          <w:szCs w:val="16"/>
        </w:rPr>
        <w:t>le percement de dalles de plancher,</w:t>
      </w:r>
    </w:p>
    <w:p w14:paraId="0D2D360F" w14:textId="61418544" w:rsidR="00B216DE" w:rsidRPr="00B216DE" w:rsidRDefault="00B216DE" w:rsidP="00B216DE">
      <w:pPr>
        <w:pStyle w:val="Paragraphedeliste"/>
        <w:numPr>
          <w:ilvl w:val="0"/>
          <w:numId w:val="27"/>
        </w:numPr>
        <w:tabs>
          <w:tab w:val="num" w:pos="907"/>
        </w:tabs>
        <w:rPr>
          <w:szCs w:val="16"/>
        </w:rPr>
      </w:pPr>
      <w:r w:rsidRPr="00B216DE">
        <w:rPr>
          <w:szCs w:val="16"/>
        </w:rPr>
        <w:t>les cas de travaux au-dessus de 2,80 mètres de hauteur,</w:t>
      </w:r>
    </w:p>
    <w:p w14:paraId="1A7F828B" w14:textId="6B89E906" w:rsidR="00B216DE" w:rsidRPr="00B216DE" w:rsidRDefault="00B216DE" w:rsidP="00B216DE">
      <w:pPr>
        <w:pStyle w:val="Paragraphedeliste"/>
        <w:numPr>
          <w:ilvl w:val="0"/>
          <w:numId w:val="27"/>
        </w:numPr>
        <w:tabs>
          <w:tab w:val="num" w:pos="907"/>
        </w:tabs>
        <w:rPr>
          <w:szCs w:val="16"/>
        </w:rPr>
      </w:pPr>
      <w:r w:rsidRPr="00B216DE">
        <w:rPr>
          <w:szCs w:val="16"/>
        </w:rPr>
        <w:t>le passage de câbles en faux-plafonds ou coffrage,</w:t>
      </w:r>
    </w:p>
    <w:p w14:paraId="28BFBE9A" w14:textId="395F7770" w:rsidR="00B216DE" w:rsidRPr="00B216DE" w:rsidRDefault="00B216DE" w:rsidP="00B216DE">
      <w:pPr>
        <w:pStyle w:val="Paragraphedeliste"/>
        <w:numPr>
          <w:ilvl w:val="0"/>
          <w:numId w:val="27"/>
        </w:numPr>
        <w:tabs>
          <w:tab w:val="num" w:pos="907"/>
        </w:tabs>
        <w:rPr>
          <w:szCs w:val="16"/>
        </w:rPr>
      </w:pPr>
      <w:r w:rsidRPr="00B216DE">
        <w:rPr>
          <w:szCs w:val="16"/>
        </w:rPr>
        <w:t>le déplacement de mobilier particulièrement lourd et encombrant.</w:t>
      </w:r>
    </w:p>
    <w:p w14:paraId="77880249" w14:textId="77777777" w:rsidR="00EC3001" w:rsidRDefault="00EC3001">
      <w:pPr>
        <w:rPr>
          <w:szCs w:val="16"/>
        </w:rPr>
      </w:pPr>
    </w:p>
    <w:p w14:paraId="37CC9F7C" w14:textId="77777777" w:rsidR="00CE5237" w:rsidRPr="00850EA7" w:rsidRDefault="00FE5242" w:rsidP="00850EA7">
      <w:pPr>
        <w:pStyle w:val="Styletitre3"/>
      </w:pPr>
      <w:bookmarkStart w:id="15" w:name="_Toc150262746"/>
      <w:r>
        <w:t xml:space="preserve"> </w:t>
      </w:r>
      <w:r w:rsidR="00A22FB1" w:rsidRPr="00850EA7">
        <w:t>Equipements d</w:t>
      </w:r>
      <w:r w:rsidR="005B0DD7">
        <w:t>e l’</w:t>
      </w:r>
      <w:bookmarkEnd w:id="15"/>
      <w:r w:rsidR="00E6702F">
        <w:t>Utilisateur Final</w:t>
      </w:r>
    </w:p>
    <w:p w14:paraId="400F205A" w14:textId="1DC01B95" w:rsidR="00CF1B4D" w:rsidRDefault="00CF1B4D">
      <w:pPr>
        <w:pStyle w:val="OmniPage1"/>
        <w:ind w:right="45"/>
        <w:jc w:val="both"/>
        <w:rPr>
          <w:sz w:val="16"/>
          <w:lang w:val="fr-FR"/>
        </w:rPr>
      </w:pPr>
      <w:r>
        <w:rPr>
          <w:sz w:val="16"/>
          <w:lang w:val="fr-FR"/>
        </w:rPr>
        <w:t xml:space="preserve">Il incombe exclusivement </w:t>
      </w:r>
      <w:r w:rsidR="00964C2C">
        <w:rPr>
          <w:sz w:val="16"/>
          <w:lang w:val="fr-FR"/>
        </w:rPr>
        <w:t xml:space="preserve">au Client </w:t>
      </w:r>
      <w:r>
        <w:rPr>
          <w:sz w:val="16"/>
          <w:lang w:val="fr-FR"/>
        </w:rPr>
        <w:t xml:space="preserve">de se procurer à ses frais les </w:t>
      </w:r>
      <w:r w:rsidR="00730C9F">
        <w:rPr>
          <w:sz w:val="16"/>
          <w:lang w:val="fr-FR"/>
        </w:rPr>
        <w:t>é</w:t>
      </w:r>
      <w:r>
        <w:rPr>
          <w:sz w:val="16"/>
          <w:lang w:val="fr-FR"/>
        </w:rPr>
        <w:t xml:space="preserve">quipements, logiciels et installations non inclus dans le Service, que nécessite le raccordement du </w:t>
      </w:r>
      <w:r w:rsidR="00AB604A">
        <w:rPr>
          <w:sz w:val="16"/>
          <w:lang w:val="fr-FR"/>
        </w:rPr>
        <w:t>R</w:t>
      </w:r>
      <w:r>
        <w:rPr>
          <w:sz w:val="16"/>
          <w:lang w:val="fr-FR"/>
        </w:rPr>
        <w:t xml:space="preserve">éseau et/ou des </w:t>
      </w:r>
      <w:r w:rsidR="00730C9F">
        <w:rPr>
          <w:sz w:val="16"/>
          <w:lang w:val="fr-FR"/>
        </w:rPr>
        <w:t>é</w:t>
      </w:r>
      <w:r>
        <w:rPr>
          <w:sz w:val="16"/>
          <w:lang w:val="fr-FR"/>
        </w:rPr>
        <w:t>quipements d</w:t>
      </w:r>
      <w:r w:rsidR="007173DC">
        <w:rPr>
          <w:sz w:val="16"/>
          <w:lang w:val="fr-FR"/>
        </w:rPr>
        <w:t>e l’</w:t>
      </w:r>
      <w:r w:rsidR="00E6702F">
        <w:rPr>
          <w:sz w:val="16"/>
          <w:lang w:val="fr-FR"/>
        </w:rPr>
        <w:t>Utilisateur Final</w:t>
      </w:r>
      <w:r>
        <w:rPr>
          <w:sz w:val="16"/>
          <w:lang w:val="fr-FR"/>
        </w:rPr>
        <w:t xml:space="preserve"> au </w:t>
      </w:r>
      <w:r w:rsidR="00B80DA4">
        <w:rPr>
          <w:sz w:val="16"/>
          <w:lang w:val="fr-FR"/>
        </w:rPr>
        <w:t>R</w:t>
      </w:r>
      <w:r>
        <w:rPr>
          <w:sz w:val="16"/>
          <w:lang w:val="fr-FR"/>
        </w:rPr>
        <w:t xml:space="preserve">éseau. De plus, </w:t>
      </w:r>
      <w:r w:rsidR="00964C2C">
        <w:rPr>
          <w:sz w:val="16"/>
          <w:lang w:val="fr-FR"/>
        </w:rPr>
        <w:t>le Client</w:t>
      </w:r>
      <w:r>
        <w:rPr>
          <w:sz w:val="16"/>
          <w:lang w:val="fr-FR"/>
        </w:rPr>
        <w:t xml:space="preserve"> </w:t>
      </w:r>
      <w:r w:rsidR="00AB604A">
        <w:rPr>
          <w:sz w:val="16"/>
          <w:lang w:val="fr-FR"/>
        </w:rPr>
        <w:t>fera son affaire de</w:t>
      </w:r>
      <w:r>
        <w:rPr>
          <w:sz w:val="16"/>
          <w:lang w:val="fr-FR"/>
        </w:rPr>
        <w:t xml:space="preserve"> l’installation, de l'exploitation et de la maintenance de </w:t>
      </w:r>
      <w:r w:rsidR="007173DC">
        <w:rPr>
          <w:sz w:val="16"/>
          <w:lang w:val="fr-FR"/>
        </w:rPr>
        <w:t>s</w:t>
      </w:r>
      <w:r>
        <w:rPr>
          <w:sz w:val="16"/>
          <w:lang w:val="fr-FR"/>
        </w:rPr>
        <w:t xml:space="preserve">es </w:t>
      </w:r>
      <w:r w:rsidR="00730C9F">
        <w:rPr>
          <w:sz w:val="16"/>
          <w:lang w:val="fr-FR"/>
        </w:rPr>
        <w:t>é</w:t>
      </w:r>
      <w:r>
        <w:rPr>
          <w:sz w:val="16"/>
          <w:lang w:val="fr-FR"/>
        </w:rPr>
        <w:t>quipements et logiciels.</w:t>
      </w:r>
    </w:p>
    <w:p w14:paraId="1F590167" w14:textId="77777777" w:rsidR="00CF1B4D" w:rsidRDefault="00CF1B4D">
      <w:pPr>
        <w:pStyle w:val="OmniPage1"/>
        <w:ind w:right="45"/>
        <w:jc w:val="both"/>
        <w:rPr>
          <w:sz w:val="16"/>
          <w:lang w:val="fr-FR"/>
        </w:rPr>
      </w:pPr>
    </w:p>
    <w:p w14:paraId="349784B1" w14:textId="77777777" w:rsidR="00CF1B4D" w:rsidRDefault="00CF1B4D">
      <w:pPr>
        <w:pStyle w:val="OmniPage1"/>
        <w:ind w:right="45"/>
        <w:jc w:val="both"/>
        <w:rPr>
          <w:sz w:val="16"/>
          <w:lang w:val="fr-FR"/>
        </w:rPr>
      </w:pPr>
      <w:r>
        <w:rPr>
          <w:sz w:val="16"/>
          <w:lang w:val="fr-FR"/>
        </w:rPr>
        <w:t xml:space="preserve">Le Fournisseur ne prend pas en charge le paramétrage et la fourniture d'éléments actifs du réseau local </w:t>
      </w:r>
      <w:r w:rsidR="00964C2C">
        <w:rPr>
          <w:sz w:val="16"/>
          <w:lang w:val="fr-FR"/>
        </w:rPr>
        <w:t xml:space="preserve">du Client </w:t>
      </w:r>
      <w:r>
        <w:rPr>
          <w:sz w:val="16"/>
          <w:lang w:val="fr-FR"/>
        </w:rPr>
        <w:t xml:space="preserve">ou des </w:t>
      </w:r>
      <w:r w:rsidR="007173DC">
        <w:rPr>
          <w:sz w:val="16"/>
          <w:lang w:val="fr-FR"/>
        </w:rPr>
        <w:t xml:space="preserve">Utilisateurs </w:t>
      </w:r>
      <w:r>
        <w:rPr>
          <w:sz w:val="16"/>
          <w:lang w:val="fr-FR"/>
        </w:rPr>
        <w:t xml:space="preserve">Finaux, ni la conception de l'architecture des installations </w:t>
      </w:r>
      <w:r w:rsidR="00964C2C">
        <w:rPr>
          <w:sz w:val="16"/>
          <w:lang w:val="fr-FR"/>
        </w:rPr>
        <w:t xml:space="preserve">du Client </w:t>
      </w:r>
      <w:r>
        <w:rPr>
          <w:sz w:val="16"/>
          <w:lang w:val="fr-FR"/>
        </w:rPr>
        <w:t xml:space="preserve">ou des </w:t>
      </w:r>
      <w:r w:rsidR="007173DC">
        <w:rPr>
          <w:sz w:val="16"/>
          <w:lang w:val="fr-FR"/>
        </w:rPr>
        <w:t xml:space="preserve">Utilisateurs </w:t>
      </w:r>
      <w:r>
        <w:rPr>
          <w:sz w:val="16"/>
          <w:lang w:val="fr-FR"/>
        </w:rPr>
        <w:t>Finaux.</w:t>
      </w:r>
    </w:p>
    <w:p w14:paraId="33CA3D96" w14:textId="77777777" w:rsidR="00CF1B4D" w:rsidRDefault="00CF1B4D">
      <w:pPr>
        <w:pStyle w:val="OmniPage1"/>
        <w:ind w:right="45"/>
        <w:jc w:val="both"/>
        <w:rPr>
          <w:sz w:val="16"/>
          <w:lang w:val="fr-FR"/>
        </w:rPr>
      </w:pPr>
    </w:p>
    <w:p w14:paraId="70A981AD" w14:textId="1B2C524C" w:rsidR="00CF1B4D" w:rsidRDefault="00964C2C">
      <w:pPr>
        <w:pStyle w:val="OmniPage1"/>
        <w:ind w:right="45"/>
        <w:jc w:val="both"/>
        <w:rPr>
          <w:sz w:val="16"/>
          <w:lang w:val="fr-FR"/>
        </w:rPr>
      </w:pPr>
      <w:r>
        <w:rPr>
          <w:sz w:val="16"/>
          <w:lang w:val="fr-FR"/>
        </w:rPr>
        <w:t>Le Client</w:t>
      </w:r>
      <w:r w:rsidR="00CF1B4D">
        <w:rPr>
          <w:sz w:val="16"/>
          <w:lang w:val="fr-FR"/>
        </w:rPr>
        <w:t xml:space="preserve"> s'engage à ce que ses </w:t>
      </w:r>
      <w:r w:rsidR="00F37F24">
        <w:rPr>
          <w:sz w:val="16"/>
          <w:lang w:val="fr-FR"/>
        </w:rPr>
        <w:t>é</w:t>
      </w:r>
      <w:r w:rsidR="00CF1B4D">
        <w:rPr>
          <w:sz w:val="16"/>
          <w:lang w:val="fr-FR"/>
        </w:rPr>
        <w:t xml:space="preserve">quipements n'interrompent, n'interfèrent ni ne perturbent les services acheminés via le </w:t>
      </w:r>
      <w:r w:rsidR="00B80DA4">
        <w:rPr>
          <w:sz w:val="16"/>
          <w:lang w:val="fr-FR"/>
        </w:rPr>
        <w:t>R</w:t>
      </w:r>
      <w:r w:rsidR="00CF1B4D">
        <w:rPr>
          <w:sz w:val="16"/>
          <w:lang w:val="fr-FR"/>
        </w:rPr>
        <w:t>éseau ou ne portent</w:t>
      </w:r>
      <w:r w:rsidR="007173DC">
        <w:rPr>
          <w:sz w:val="16"/>
          <w:lang w:val="fr-FR"/>
        </w:rPr>
        <w:t xml:space="preserve"> pas</w:t>
      </w:r>
      <w:r w:rsidR="00CF1B4D">
        <w:rPr>
          <w:sz w:val="16"/>
          <w:lang w:val="fr-FR"/>
        </w:rPr>
        <w:t xml:space="preserve"> atteinte à la confidentialité des communications acheminées via ledit </w:t>
      </w:r>
      <w:r w:rsidR="00B80DA4">
        <w:rPr>
          <w:sz w:val="16"/>
          <w:lang w:val="fr-FR"/>
        </w:rPr>
        <w:t>R</w:t>
      </w:r>
      <w:r w:rsidR="00CF1B4D">
        <w:rPr>
          <w:sz w:val="16"/>
          <w:lang w:val="fr-FR"/>
        </w:rPr>
        <w:t xml:space="preserve">éseau, ni ne causent aucun préjudice au Fournisseur ou à tout autre utilisateur du </w:t>
      </w:r>
      <w:r w:rsidR="00B80DA4">
        <w:rPr>
          <w:sz w:val="16"/>
          <w:lang w:val="fr-FR"/>
        </w:rPr>
        <w:t>R</w:t>
      </w:r>
      <w:r w:rsidR="00CF1B4D">
        <w:rPr>
          <w:sz w:val="16"/>
          <w:lang w:val="fr-FR"/>
        </w:rPr>
        <w:t>éseau.</w:t>
      </w:r>
    </w:p>
    <w:p w14:paraId="3659FB7C" w14:textId="77777777" w:rsidR="00CA7E87" w:rsidRDefault="00CA7E87">
      <w:pPr>
        <w:pStyle w:val="OmniPage1"/>
        <w:ind w:right="45"/>
        <w:jc w:val="both"/>
        <w:rPr>
          <w:sz w:val="16"/>
          <w:lang w:val="fr-FR"/>
        </w:rPr>
      </w:pPr>
    </w:p>
    <w:p w14:paraId="31E0B00D" w14:textId="7E5E2D78" w:rsidR="00662540" w:rsidRDefault="00CF211B">
      <w:pPr>
        <w:pStyle w:val="OmniPage1"/>
        <w:ind w:right="45"/>
        <w:jc w:val="both"/>
        <w:rPr>
          <w:sz w:val="16"/>
          <w:lang w:val="fr-FR"/>
        </w:rPr>
      </w:pPr>
      <w:r>
        <w:rPr>
          <w:sz w:val="16"/>
          <w:lang w:val="fr-FR"/>
        </w:rPr>
        <w:t xml:space="preserve">Réciproquement, le Fournisseur s’engage à ce que </w:t>
      </w:r>
      <w:r w:rsidR="000F649C">
        <w:rPr>
          <w:sz w:val="16"/>
          <w:lang w:val="fr-FR"/>
        </w:rPr>
        <w:t xml:space="preserve">le </w:t>
      </w:r>
      <w:r>
        <w:rPr>
          <w:sz w:val="16"/>
          <w:lang w:val="fr-FR"/>
        </w:rPr>
        <w:t>Réseau ne perturbe pas l</w:t>
      </w:r>
      <w:r w:rsidRPr="00662540">
        <w:rPr>
          <w:sz w:val="16"/>
          <w:lang w:val="fr-FR"/>
        </w:rPr>
        <w:t xml:space="preserve">es </w:t>
      </w:r>
      <w:r w:rsidR="005B13A2">
        <w:rPr>
          <w:sz w:val="16"/>
          <w:lang w:val="fr-FR"/>
        </w:rPr>
        <w:t>é</w:t>
      </w:r>
      <w:r w:rsidRPr="00662540">
        <w:rPr>
          <w:sz w:val="16"/>
          <w:lang w:val="fr-FR"/>
        </w:rPr>
        <w:t>quipements du Client</w:t>
      </w:r>
      <w:r w:rsidR="00B80DA4">
        <w:rPr>
          <w:sz w:val="16"/>
          <w:lang w:val="fr-FR"/>
        </w:rPr>
        <w:t xml:space="preserve"> et ne porte pas atteinte à la confidentialité des communications qu’il achemine</w:t>
      </w:r>
      <w:r>
        <w:rPr>
          <w:sz w:val="16"/>
          <w:lang w:val="fr-FR"/>
        </w:rPr>
        <w:t>.</w:t>
      </w:r>
    </w:p>
    <w:p w14:paraId="13CEB346" w14:textId="77777777" w:rsidR="002F14EE" w:rsidRDefault="002F14EE">
      <w:pPr>
        <w:pStyle w:val="OmniPage1"/>
        <w:ind w:right="45"/>
        <w:jc w:val="both"/>
        <w:rPr>
          <w:sz w:val="16"/>
          <w:lang w:val="fr-FR"/>
        </w:rPr>
      </w:pPr>
    </w:p>
    <w:p w14:paraId="7BC04204" w14:textId="77777777" w:rsidR="00CF1B4D" w:rsidRPr="00850EA7" w:rsidRDefault="00FE5242" w:rsidP="00850EA7">
      <w:pPr>
        <w:pStyle w:val="Styletitre3"/>
      </w:pPr>
      <w:bookmarkStart w:id="16" w:name="_Toc150262748"/>
      <w:r>
        <w:t xml:space="preserve"> </w:t>
      </w:r>
      <w:r w:rsidR="00CF1B4D" w:rsidRPr="00850EA7">
        <w:t>Date de Début du Service</w:t>
      </w:r>
      <w:bookmarkEnd w:id="16"/>
    </w:p>
    <w:p w14:paraId="19B19F7F" w14:textId="7FE7088B" w:rsidR="00CF1B4D" w:rsidRDefault="00CF1B4D">
      <w:pPr>
        <w:rPr>
          <w:szCs w:val="16"/>
        </w:rPr>
      </w:pPr>
      <w:r>
        <w:rPr>
          <w:szCs w:val="16"/>
        </w:rPr>
        <w:t>La Date de Début du Service d’un</w:t>
      </w:r>
      <w:r w:rsidR="00404E5D">
        <w:rPr>
          <w:szCs w:val="16"/>
        </w:rPr>
        <w:t xml:space="preserve">e Ligne FTTH Active </w:t>
      </w:r>
      <w:r>
        <w:rPr>
          <w:szCs w:val="16"/>
        </w:rPr>
        <w:t>intervient à la date d’émission de l’Avis</w:t>
      </w:r>
      <w:r w:rsidR="00A16DC9">
        <w:rPr>
          <w:szCs w:val="16"/>
        </w:rPr>
        <w:t xml:space="preserve"> de mise à disposition du Service</w:t>
      </w:r>
      <w:r>
        <w:rPr>
          <w:szCs w:val="16"/>
        </w:rPr>
        <w:t xml:space="preserve"> envoyé sous</w:t>
      </w:r>
      <w:r w:rsidR="00ED1205">
        <w:rPr>
          <w:szCs w:val="16"/>
        </w:rPr>
        <w:t xml:space="preserve"> format </w:t>
      </w:r>
      <w:r w:rsidR="00A16DC9">
        <w:rPr>
          <w:szCs w:val="16"/>
        </w:rPr>
        <w:t>é</w:t>
      </w:r>
      <w:r w:rsidR="00ED1205">
        <w:rPr>
          <w:szCs w:val="16"/>
        </w:rPr>
        <w:t>lectronique</w:t>
      </w:r>
      <w:r>
        <w:rPr>
          <w:szCs w:val="16"/>
        </w:rPr>
        <w:t xml:space="preserve"> par le Fournisseur au Client confirmant l’activation dudit Lien d’Accès.</w:t>
      </w:r>
    </w:p>
    <w:p w14:paraId="4E409158" w14:textId="77777777" w:rsidR="00155280" w:rsidRDefault="00155280">
      <w:pPr>
        <w:rPr>
          <w:szCs w:val="16"/>
        </w:rPr>
      </w:pPr>
    </w:p>
    <w:p w14:paraId="1E14BE61" w14:textId="6F1D1DE7" w:rsidR="00CF1B4D" w:rsidRDefault="0022295B">
      <w:pPr>
        <w:pStyle w:val="OmniPage1"/>
        <w:jc w:val="both"/>
        <w:rPr>
          <w:sz w:val="16"/>
          <w:szCs w:val="16"/>
          <w:lang w:val="fr-FR" w:eastAsia="fr-FR"/>
        </w:rPr>
      </w:pPr>
      <w:r w:rsidRPr="00D21E3B">
        <w:rPr>
          <w:sz w:val="16"/>
          <w:szCs w:val="16"/>
          <w:lang w:val="fr-FR" w:eastAsia="fr-FR"/>
        </w:rPr>
        <w:t>Par dé</w:t>
      </w:r>
      <w:r w:rsidR="00F2754C">
        <w:rPr>
          <w:sz w:val="16"/>
          <w:szCs w:val="16"/>
          <w:lang w:val="fr-FR" w:eastAsia="fr-FR"/>
        </w:rPr>
        <w:t>rogation expresse de l’Article 7</w:t>
      </w:r>
      <w:r w:rsidRPr="00D21E3B">
        <w:rPr>
          <w:sz w:val="16"/>
          <w:szCs w:val="16"/>
          <w:lang w:val="fr-FR" w:eastAsia="fr-FR"/>
        </w:rPr>
        <w:t xml:space="preserve"> des Conditions Générales,</w:t>
      </w:r>
      <w:r w:rsidR="00171E1A" w:rsidRPr="00D21E3B">
        <w:rPr>
          <w:sz w:val="16"/>
          <w:szCs w:val="16"/>
          <w:lang w:val="fr-FR" w:eastAsia="fr-FR"/>
        </w:rPr>
        <w:t xml:space="preserve"> </w:t>
      </w:r>
      <w:r w:rsidRPr="00D21E3B">
        <w:rPr>
          <w:sz w:val="16"/>
          <w:szCs w:val="16"/>
          <w:lang w:val="fr-FR" w:eastAsia="fr-FR"/>
        </w:rPr>
        <w:t>c</w:t>
      </w:r>
      <w:r w:rsidR="00CF1B4D" w:rsidRPr="00D21E3B">
        <w:rPr>
          <w:sz w:val="16"/>
          <w:szCs w:val="16"/>
          <w:lang w:val="fr-FR" w:eastAsia="fr-FR"/>
        </w:rPr>
        <w:t xml:space="preserve">et Avis vaut également date de recette du Lien d'Accès. Cette date fait foi dans tous les échanges entre le Fournisseur et </w:t>
      </w:r>
      <w:r w:rsidR="00964C2C" w:rsidRPr="00D21E3B">
        <w:rPr>
          <w:sz w:val="16"/>
          <w:szCs w:val="16"/>
          <w:lang w:val="fr-FR" w:eastAsia="fr-FR"/>
        </w:rPr>
        <w:t>le Client</w:t>
      </w:r>
      <w:r w:rsidR="00CF1B4D" w:rsidRPr="00D21E3B">
        <w:rPr>
          <w:sz w:val="16"/>
          <w:szCs w:val="16"/>
          <w:lang w:val="fr-FR" w:eastAsia="fr-FR"/>
        </w:rPr>
        <w:t>.</w:t>
      </w:r>
    </w:p>
    <w:p w14:paraId="1CD847D0" w14:textId="77777777" w:rsidR="00CF1B4D" w:rsidRDefault="00CF1B4D">
      <w:pPr>
        <w:pStyle w:val="OmniPage1"/>
        <w:jc w:val="both"/>
        <w:rPr>
          <w:sz w:val="16"/>
          <w:szCs w:val="16"/>
          <w:lang w:val="fr-FR" w:eastAsia="fr-FR"/>
        </w:rPr>
      </w:pPr>
    </w:p>
    <w:p w14:paraId="3047AF5C" w14:textId="29A1E68C" w:rsidR="00CF1B4D" w:rsidRPr="00AB604A" w:rsidRDefault="00964C2C">
      <w:pPr>
        <w:pStyle w:val="OmniPage1"/>
        <w:jc w:val="both"/>
        <w:rPr>
          <w:sz w:val="16"/>
          <w:szCs w:val="16"/>
          <w:lang w:val="fr-FR" w:eastAsia="fr-FR"/>
        </w:rPr>
      </w:pPr>
      <w:r>
        <w:rPr>
          <w:sz w:val="16"/>
          <w:szCs w:val="16"/>
          <w:lang w:val="fr-FR" w:eastAsia="fr-FR"/>
        </w:rPr>
        <w:t>Le Client</w:t>
      </w:r>
      <w:r w:rsidR="00CF1B4D">
        <w:rPr>
          <w:sz w:val="16"/>
          <w:szCs w:val="16"/>
          <w:lang w:val="fr-FR" w:eastAsia="fr-FR"/>
        </w:rPr>
        <w:t xml:space="preserve"> dispose, suite à émission de cet Avis, de</w:t>
      </w:r>
      <w:r w:rsidR="00C94F27">
        <w:rPr>
          <w:sz w:val="16"/>
          <w:szCs w:val="16"/>
          <w:lang w:val="fr-FR" w:eastAsia="fr-FR"/>
        </w:rPr>
        <w:t xml:space="preserve"> vingt</w:t>
      </w:r>
      <w:r w:rsidR="00494414">
        <w:rPr>
          <w:sz w:val="16"/>
          <w:szCs w:val="16"/>
          <w:lang w:val="fr-FR" w:eastAsia="fr-FR"/>
        </w:rPr>
        <w:t> </w:t>
      </w:r>
      <w:r w:rsidR="00C94F27">
        <w:rPr>
          <w:sz w:val="16"/>
          <w:szCs w:val="16"/>
          <w:lang w:val="fr-FR" w:eastAsia="fr-FR"/>
        </w:rPr>
        <w:t xml:space="preserve">(20) </w:t>
      </w:r>
      <w:r w:rsidR="00CF1B4D">
        <w:rPr>
          <w:sz w:val="16"/>
          <w:szCs w:val="16"/>
          <w:lang w:val="fr-FR" w:eastAsia="fr-FR"/>
        </w:rPr>
        <w:t xml:space="preserve">Jours Ouvrés pour contester le bon fonctionnement du Lien d'Accès. Dans ce cas, </w:t>
      </w:r>
      <w:r>
        <w:rPr>
          <w:sz w:val="16"/>
          <w:szCs w:val="16"/>
          <w:lang w:val="fr-FR" w:eastAsia="fr-FR"/>
        </w:rPr>
        <w:t>le Client</w:t>
      </w:r>
      <w:r w:rsidR="00CF1B4D">
        <w:rPr>
          <w:sz w:val="16"/>
          <w:szCs w:val="16"/>
          <w:lang w:val="fr-FR" w:eastAsia="fr-FR"/>
        </w:rPr>
        <w:t xml:space="preserve"> motivera ce refus par écrit par l'existence d'</w:t>
      </w:r>
      <w:r w:rsidR="00B80DA4">
        <w:rPr>
          <w:sz w:val="16"/>
          <w:szCs w:val="16"/>
          <w:lang w:val="fr-FR" w:eastAsia="fr-FR"/>
        </w:rPr>
        <w:t>A</w:t>
      </w:r>
      <w:r w:rsidR="00CF1B4D">
        <w:rPr>
          <w:sz w:val="16"/>
          <w:szCs w:val="16"/>
          <w:lang w:val="fr-FR" w:eastAsia="fr-FR"/>
        </w:rPr>
        <w:t xml:space="preserve">nomalies. Une fois ces </w:t>
      </w:r>
      <w:r w:rsidR="00B80DA4">
        <w:rPr>
          <w:sz w:val="16"/>
          <w:szCs w:val="16"/>
          <w:lang w:val="fr-FR" w:eastAsia="fr-FR"/>
        </w:rPr>
        <w:t>A</w:t>
      </w:r>
      <w:r w:rsidR="00CF1B4D">
        <w:rPr>
          <w:sz w:val="16"/>
          <w:szCs w:val="16"/>
          <w:lang w:val="fr-FR" w:eastAsia="fr-FR"/>
        </w:rPr>
        <w:t>nomalies corrigées, un nouvel Avis sera émis par le Fournisseur au Client.</w:t>
      </w:r>
    </w:p>
    <w:p w14:paraId="491F2A1F" w14:textId="77777777" w:rsidR="00CF1B4D" w:rsidRDefault="00CF1B4D">
      <w:pPr>
        <w:pStyle w:val="OmniPage1"/>
        <w:jc w:val="both"/>
        <w:rPr>
          <w:sz w:val="16"/>
          <w:lang w:val="fr-FR"/>
        </w:rPr>
      </w:pPr>
    </w:p>
    <w:p w14:paraId="4B9FCEF6" w14:textId="2E1D7E3B" w:rsidR="00CF1B4D" w:rsidRDefault="00CF1B4D">
      <w:pPr>
        <w:pStyle w:val="OmniPage1"/>
        <w:jc w:val="both"/>
        <w:rPr>
          <w:sz w:val="16"/>
          <w:lang w:val="fr-FR"/>
        </w:rPr>
      </w:pPr>
      <w:r>
        <w:rPr>
          <w:sz w:val="16"/>
          <w:lang w:val="fr-FR"/>
        </w:rPr>
        <w:t>A compter de la réception par le Fournisseur de la notification d’</w:t>
      </w:r>
      <w:r w:rsidR="00B80DA4">
        <w:rPr>
          <w:sz w:val="16"/>
          <w:lang w:val="fr-FR"/>
        </w:rPr>
        <w:t>A</w:t>
      </w:r>
      <w:r>
        <w:rPr>
          <w:sz w:val="16"/>
          <w:lang w:val="fr-FR"/>
        </w:rPr>
        <w:t>nomalie</w:t>
      </w:r>
      <w:r w:rsidR="00061D2B">
        <w:rPr>
          <w:sz w:val="16"/>
          <w:lang w:val="fr-FR"/>
        </w:rPr>
        <w:t>s</w:t>
      </w:r>
      <w:r>
        <w:rPr>
          <w:sz w:val="16"/>
          <w:lang w:val="fr-FR"/>
        </w:rPr>
        <w:t xml:space="preserve"> écrite par </w:t>
      </w:r>
      <w:r w:rsidR="00964C2C">
        <w:rPr>
          <w:sz w:val="16"/>
          <w:lang w:val="fr-FR"/>
        </w:rPr>
        <w:t>le Client</w:t>
      </w:r>
      <w:r>
        <w:rPr>
          <w:sz w:val="16"/>
          <w:lang w:val="fr-FR"/>
        </w:rPr>
        <w:t>, le Fournisseur pourra suspendre le Lien d'Accès conce</w:t>
      </w:r>
      <w:r w:rsidR="00612E17">
        <w:rPr>
          <w:sz w:val="16"/>
          <w:lang w:val="fr-FR"/>
        </w:rPr>
        <w:t>rné jusqu'à sa nouvelle recette.</w:t>
      </w:r>
    </w:p>
    <w:p w14:paraId="4CD39C31" w14:textId="77777777" w:rsidR="00C13E9C" w:rsidRDefault="00C13E9C">
      <w:pPr>
        <w:pStyle w:val="OmniPage1"/>
        <w:jc w:val="both"/>
        <w:rPr>
          <w:sz w:val="16"/>
          <w:lang w:val="fr-FR"/>
        </w:rPr>
      </w:pPr>
    </w:p>
    <w:p w14:paraId="6D1BE20F" w14:textId="77777777" w:rsidR="00CF1B4D" w:rsidRDefault="00CF1B4D">
      <w:pPr>
        <w:pStyle w:val="OmniPage1"/>
        <w:jc w:val="both"/>
        <w:rPr>
          <w:sz w:val="16"/>
          <w:lang w:val="fr-FR"/>
        </w:rPr>
      </w:pPr>
      <w:r>
        <w:rPr>
          <w:sz w:val="16"/>
          <w:lang w:val="fr-FR"/>
        </w:rPr>
        <w:t xml:space="preserve">A défaut de réponse ou de contestation par écrit </w:t>
      </w:r>
      <w:r w:rsidR="00964C2C">
        <w:rPr>
          <w:sz w:val="16"/>
          <w:lang w:val="fr-FR"/>
        </w:rPr>
        <w:t>du Client</w:t>
      </w:r>
      <w:r>
        <w:rPr>
          <w:sz w:val="16"/>
          <w:lang w:val="fr-FR"/>
        </w:rPr>
        <w:t xml:space="preserve"> dans  le délai de réponse de</w:t>
      </w:r>
      <w:r w:rsidR="00914D06">
        <w:rPr>
          <w:sz w:val="16"/>
          <w:lang w:val="fr-FR"/>
        </w:rPr>
        <w:t> </w:t>
      </w:r>
      <w:r w:rsidR="00C94F27">
        <w:rPr>
          <w:sz w:val="16"/>
          <w:lang w:val="fr-FR"/>
        </w:rPr>
        <w:t xml:space="preserve">vingt (20) </w:t>
      </w:r>
      <w:r>
        <w:rPr>
          <w:sz w:val="16"/>
          <w:lang w:val="fr-FR"/>
        </w:rPr>
        <w:t xml:space="preserve">Jours Ouvrés susmentionné ou en cas d'utilisation d'un Lien d'Accès à des fins d'exploitation par </w:t>
      </w:r>
      <w:r w:rsidR="00964C2C">
        <w:rPr>
          <w:sz w:val="16"/>
          <w:lang w:val="fr-FR"/>
        </w:rPr>
        <w:t>le Client</w:t>
      </w:r>
      <w:r>
        <w:rPr>
          <w:sz w:val="16"/>
          <w:lang w:val="fr-FR"/>
        </w:rPr>
        <w:t xml:space="preserve">, le Lien d'Accès de la Commande concernée sera réputé mis en service tacitement et la Date de Début du Service sera la </w:t>
      </w:r>
      <w:r w:rsidRPr="00CA6C68">
        <w:rPr>
          <w:sz w:val="16"/>
          <w:lang w:val="fr-FR"/>
        </w:rPr>
        <w:t>date de l’Avis émis par le Fournisseur.</w:t>
      </w:r>
    </w:p>
    <w:p w14:paraId="61BC469E" w14:textId="77777777" w:rsidR="00CF1B4D" w:rsidRDefault="00CF1B4D">
      <w:pPr>
        <w:pStyle w:val="OmniPage1"/>
        <w:jc w:val="both"/>
        <w:rPr>
          <w:sz w:val="16"/>
          <w:lang w:val="fr-FR"/>
        </w:rPr>
      </w:pPr>
    </w:p>
    <w:p w14:paraId="698E826D" w14:textId="0267C5AA" w:rsidR="00AF2715" w:rsidRDefault="00AF2715" w:rsidP="00AF2715">
      <w:pPr>
        <w:pStyle w:val="Styletitre3"/>
      </w:pPr>
      <w:r>
        <w:t>Mise en Service de l’option GTR 10H</w:t>
      </w:r>
    </w:p>
    <w:p w14:paraId="6578FED5" w14:textId="0D8752CA" w:rsidR="00AF2715" w:rsidRDefault="00AF2715" w:rsidP="00AF2715">
      <w:r>
        <w:t>En cas de commande simultanée d’une Ligne FTTH Active et d’une Option GTR 10H, la mise en service de l’option GTR 10H est concomitante à la mise en service de la Ligne FTTH Active. La Date de Début du Service de la Ligne FTTH Active vaut également Date de Début du Service pour l’option.</w:t>
      </w:r>
    </w:p>
    <w:p w14:paraId="3B1381E2" w14:textId="77777777" w:rsidR="00AF2715" w:rsidRDefault="00AF2715" w:rsidP="00AF2715"/>
    <w:p w14:paraId="721D1081" w14:textId="1B7FCA47" w:rsidR="00AF2715" w:rsidRPr="00AF2715" w:rsidRDefault="00AF2715" w:rsidP="00AF2715">
      <w:r>
        <w:t>En cas de rajout de l’option GTR 10H sur une Ligne FTTH Active déjà en service, le délai d’activation de l’option est de dix (10) jours ouvrés. Un Avis de mis</w:t>
      </w:r>
      <w:r w:rsidR="00EC6C58">
        <w:t>e</w:t>
      </w:r>
      <w:r>
        <w:t xml:space="preserve"> à disposition du Service est envoyé sous format électronique par le Fournisseur au Client confirmant l’activation de ladite option.</w:t>
      </w:r>
    </w:p>
    <w:p w14:paraId="166987E1" w14:textId="77777777" w:rsidR="00AF2715" w:rsidRDefault="00AF2715">
      <w:pPr>
        <w:pStyle w:val="OmniPage1"/>
        <w:jc w:val="both"/>
        <w:rPr>
          <w:sz w:val="16"/>
          <w:lang w:val="fr-FR"/>
        </w:rPr>
      </w:pPr>
    </w:p>
    <w:p w14:paraId="0EEE0E44" w14:textId="77777777" w:rsidR="00CF1B4D" w:rsidRPr="00850EA7" w:rsidRDefault="00FE5242" w:rsidP="00850EA7">
      <w:pPr>
        <w:pStyle w:val="Styletitre3"/>
      </w:pPr>
      <w:bookmarkStart w:id="17" w:name="_Toc150262749"/>
      <w:r>
        <w:t xml:space="preserve"> </w:t>
      </w:r>
      <w:r w:rsidR="00CF1B4D" w:rsidRPr="00850EA7">
        <w:t>Durée</w:t>
      </w:r>
      <w:bookmarkEnd w:id="17"/>
      <w:r w:rsidR="00481820" w:rsidRPr="00850EA7">
        <w:t xml:space="preserve"> du Lien d’Accès</w:t>
      </w:r>
    </w:p>
    <w:p w14:paraId="5DA60BA3" w14:textId="47B7051C" w:rsidR="00D14E24" w:rsidRPr="000603A0" w:rsidRDefault="00D14E24" w:rsidP="00C3469E">
      <w:pPr>
        <w:pStyle w:val="OmniPage1"/>
        <w:ind w:right="45"/>
        <w:jc w:val="both"/>
        <w:rPr>
          <w:sz w:val="16"/>
          <w:szCs w:val="16"/>
          <w:lang w:val="fr-FR"/>
        </w:rPr>
      </w:pPr>
      <w:r w:rsidRPr="000603A0">
        <w:rPr>
          <w:sz w:val="16"/>
          <w:szCs w:val="16"/>
          <w:lang w:val="fr-FR"/>
        </w:rPr>
        <w:t xml:space="preserve">Par dérogation aux dispositions de l'Article </w:t>
      </w:r>
      <w:r w:rsidR="00F2754C">
        <w:rPr>
          <w:sz w:val="16"/>
          <w:szCs w:val="16"/>
          <w:lang w:val="fr-FR"/>
        </w:rPr>
        <w:t>9</w:t>
      </w:r>
      <w:r w:rsidRPr="000603A0">
        <w:rPr>
          <w:sz w:val="16"/>
          <w:szCs w:val="16"/>
          <w:lang w:val="fr-FR"/>
        </w:rPr>
        <w:t>.2 des Conditions Générales, un Lien d'Accès est souscrit pour une durée indéterminée, chaque Pa</w:t>
      </w:r>
      <w:r w:rsidR="00537166" w:rsidRPr="000603A0">
        <w:rPr>
          <w:sz w:val="16"/>
          <w:szCs w:val="16"/>
          <w:lang w:val="fr-FR"/>
        </w:rPr>
        <w:t xml:space="preserve">rtie pouvant y mettre fin, </w:t>
      </w:r>
      <w:r w:rsidRPr="000603A0">
        <w:rPr>
          <w:sz w:val="16"/>
          <w:szCs w:val="16"/>
          <w:lang w:val="fr-FR"/>
        </w:rPr>
        <w:t>selon les modalités</w:t>
      </w:r>
      <w:r w:rsidR="00537166" w:rsidRPr="000603A0">
        <w:rPr>
          <w:sz w:val="16"/>
          <w:szCs w:val="16"/>
          <w:lang w:val="fr-FR"/>
        </w:rPr>
        <w:t xml:space="preserve"> décrites à l’article 7</w:t>
      </w:r>
      <w:r w:rsidRPr="000603A0">
        <w:rPr>
          <w:sz w:val="16"/>
          <w:szCs w:val="16"/>
          <w:lang w:val="fr-FR"/>
        </w:rPr>
        <w:t>.</w:t>
      </w:r>
    </w:p>
    <w:p w14:paraId="46194A40" w14:textId="77777777" w:rsidR="00CF1B4D" w:rsidRPr="00AB604A" w:rsidRDefault="00CF1B4D">
      <w:pPr>
        <w:pStyle w:val="OmniPage1"/>
        <w:tabs>
          <w:tab w:val="left" w:pos="765"/>
          <w:tab w:val="right" w:pos="10251"/>
        </w:tabs>
        <w:ind w:right="90"/>
        <w:jc w:val="both"/>
        <w:rPr>
          <w:sz w:val="16"/>
          <w:szCs w:val="16"/>
          <w:lang w:val="fr-FR"/>
        </w:rPr>
      </w:pPr>
    </w:p>
    <w:p w14:paraId="53425184" w14:textId="77777777" w:rsidR="009B2776" w:rsidRDefault="00F039F0" w:rsidP="000F7CB5">
      <w:pPr>
        <w:pStyle w:val="StyleTitre1"/>
      </w:pPr>
      <w:r>
        <w:t>RE</w:t>
      </w:r>
      <w:r w:rsidR="000F7CB5">
        <w:t>SILIATION DU SERVICE</w:t>
      </w:r>
    </w:p>
    <w:p w14:paraId="11A2153B" w14:textId="22C072DD" w:rsidR="00053995" w:rsidRDefault="00053995" w:rsidP="00A931B7">
      <w:pPr>
        <w:pStyle w:val="OmniPage1"/>
        <w:ind w:right="6"/>
        <w:jc w:val="both"/>
        <w:rPr>
          <w:sz w:val="16"/>
          <w:lang w:val="fr-FR"/>
        </w:rPr>
      </w:pPr>
      <w:r w:rsidRPr="00053995">
        <w:rPr>
          <w:sz w:val="16"/>
          <w:lang w:val="fr-FR"/>
        </w:rPr>
        <w:t>En complément des stipulations de l’article 1</w:t>
      </w:r>
      <w:r w:rsidR="00F2754C">
        <w:rPr>
          <w:sz w:val="16"/>
          <w:lang w:val="fr-FR"/>
        </w:rPr>
        <w:t>4</w:t>
      </w:r>
      <w:r w:rsidRPr="00053995">
        <w:rPr>
          <w:sz w:val="16"/>
          <w:lang w:val="fr-FR"/>
        </w:rPr>
        <w:t xml:space="preserve"> </w:t>
      </w:r>
      <w:r>
        <w:rPr>
          <w:sz w:val="16"/>
          <w:lang w:val="fr-FR"/>
        </w:rPr>
        <w:t>des Conditions Générales de la Convention Cadre, les Parties conviennent des conditions spécifiques de résiliation suivantes.</w:t>
      </w:r>
    </w:p>
    <w:p w14:paraId="479A3AFB" w14:textId="77777777" w:rsidR="00B12F40" w:rsidRPr="004631F5" w:rsidRDefault="00B12F40" w:rsidP="004631F5">
      <w:pPr>
        <w:pStyle w:val="OmniPage1"/>
        <w:ind w:right="6"/>
        <w:jc w:val="both"/>
        <w:rPr>
          <w:lang w:val="fr-FR"/>
        </w:rPr>
      </w:pPr>
    </w:p>
    <w:p w14:paraId="12153ECB" w14:textId="107FD6CB" w:rsidR="000F7CB5" w:rsidRDefault="00E02324" w:rsidP="000F7CB5">
      <w:pPr>
        <w:pStyle w:val="StyleTitre2"/>
      </w:pPr>
      <w:r>
        <w:t xml:space="preserve">Résiliation d’une </w:t>
      </w:r>
      <w:r w:rsidR="000F7CB5">
        <w:t>Ligne FTTH Acti</w:t>
      </w:r>
      <w:r w:rsidR="002539A2">
        <w:t>ve</w:t>
      </w:r>
      <w:r w:rsidR="000F7CB5">
        <w:t xml:space="preserve"> </w:t>
      </w:r>
      <w:r w:rsidR="001F7309">
        <w:t xml:space="preserve">ou d’une option GTR 10H </w:t>
      </w:r>
      <w:r w:rsidR="00990CB1">
        <w:t>du fait du Client</w:t>
      </w:r>
    </w:p>
    <w:p w14:paraId="06FF0250" w14:textId="77777777" w:rsidR="001F7309" w:rsidRDefault="001F7309" w:rsidP="001F7309">
      <w:pPr>
        <w:rPr>
          <w:szCs w:val="16"/>
        </w:rPr>
      </w:pPr>
    </w:p>
    <w:p w14:paraId="256DF93B" w14:textId="135FEAC9" w:rsidR="001F7309" w:rsidRDefault="001F7309" w:rsidP="00EF5377">
      <w:pPr>
        <w:pStyle w:val="Styletitre3"/>
      </w:pPr>
      <w:r>
        <w:t xml:space="preserve"> Résiliation d’une Ligne FTTH Active</w:t>
      </w:r>
    </w:p>
    <w:p w14:paraId="6AB5C0EE" w14:textId="61BEEDF8" w:rsidR="001F7309" w:rsidRDefault="002539A2" w:rsidP="00D24E60">
      <w:r>
        <w:t xml:space="preserve">Le Client peut résilier à tout moment une Ligne FTTH Active, sous réserve d’avoir notifié </w:t>
      </w:r>
      <w:r w:rsidR="004111DF">
        <w:t xml:space="preserve">par voie électronique </w:t>
      </w:r>
      <w:r>
        <w:t xml:space="preserve">au Fournisseur la résiliation au moins </w:t>
      </w:r>
      <w:r w:rsidR="00852F3A">
        <w:t xml:space="preserve">cinq </w:t>
      </w:r>
      <w:r>
        <w:t>(</w:t>
      </w:r>
      <w:r w:rsidR="00852F3A">
        <w:t>5</w:t>
      </w:r>
      <w:r>
        <w:t>) jours ouvrés avant la date d’effet de la résiliation.</w:t>
      </w:r>
    </w:p>
    <w:p w14:paraId="2F942BC0" w14:textId="4F06071A" w:rsidR="00AE1864" w:rsidRDefault="001F7309" w:rsidP="00D24E60">
      <w:r>
        <w:t>La résiliation d’une Ligne FTTH Active entraîne automatiquement la résiliation des options qui lui sont attachées.</w:t>
      </w:r>
    </w:p>
    <w:p w14:paraId="05D2CE68" w14:textId="77777777" w:rsidR="001F7309" w:rsidRDefault="001F7309" w:rsidP="00D24E60"/>
    <w:p w14:paraId="61E30462" w14:textId="326332B6" w:rsidR="00117DAE" w:rsidRDefault="002A192A" w:rsidP="00286400">
      <w:pPr>
        <w:pStyle w:val="OmniPage1"/>
        <w:ind w:right="45"/>
        <w:jc w:val="both"/>
        <w:rPr>
          <w:sz w:val="16"/>
          <w:szCs w:val="16"/>
          <w:lang w:val="fr-FR" w:eastAsia="fr-FR"/>
        </w:rPr>
      </w:pPr>
      <w:r>
        <w:rPr>
          <w:sz w:val="16"/>
          <w:szCs w:val="16"/>
          <w:lang w:val="fr-FR" w:eastAsia="fr-FR"/>
        </w:rPr>
        <w:t xml:space="preserve">Tel que précisé à l’article </w:t>
      </w:r>
      <w:r w:rsidR="00EC6C58">
        <w:rPr>
          <w:sz w:val="16"/>
          <w:szCs w:val="16"/>
          <w:lang w:val="fr-FR" w:eastAsia="fr-FR"/>
        </w:rPr>
        <w:t>10</w:t>
      </w:r>
      <w:r>
        <w:rPr>
          <w:sz w:val="16"/>
          <w:szCs w:val="16"/>
          <w:lang w:val="fr-FR" w:eastAsia="fr-FR"/>
        </w:rPr>
        <w:t xml:space="preserve">.3, </w:t>
      </w:r>
      <w:r w:rsidR="00C3519B">
        <w:rPr>
          <w:sz w:val="16"/>
          <w:szCs w:val="16"/>
          <w:lang w:val="fr-FR" w:eastAsia="fr-FR"/>
        </w:rPr>
        <w:t xml:space="preserve">si la résiliation intervient </w:t>
      </w:r>
      <w:r w:rsidR="003C310D" w:rsidRPr="003C310D">
        <w:rPr>
          <w:sz w:val="16"/>
          <w:szCs w:val="16"/>
          <w:lang w:val="fr-FR" w:eastAsia="fr-FR"/>
        </w:rPr>
        <w:t>dans les trente (30) jours suivant la Date du Début du Service</w:t>
      </w:r>
      <w:r w:rsidR="00C3519B">
        <w:rPr>
          <w:sz w:val="16"/>
          <w:szCs w:val="16"/>
          <w:lang w:val="fr-FR" w:eastAsia="fr-FR"/>
        </w:rPr>
        <w:t xml:space="preserve">, le Client est alors redevable </w:t>
      </w:r>
      <w:r w:rsidR="003C310D" w:rsidRPr="003C310D">
        <w:rPr>
          <w:sz w:val="16"/>
          <w:szCs w:val="16"/>
          <w:lang w:val="fr-FR" w:eastAsia="fr-FR"/>
        </w:rPr>
        <w:t>d’un (1) mois d’abonnement</w:t>
      </w:r>
      <w:r w:rsidR="00C3519B">
        <w:rPr>
          <w:sz w:val="16"/>
          <w:szCs w:val="16"/>
          <w:lang w:val="fr-FR" w:eastAsia="fr-FR"/>
        </w:rPr>
        <w:t xml:space="preserve"> tel que prévu en Annexe 1.</w:t>
      </w:r>
    </w:p>
    <w:p w14:paraId="5B574C5E" w14:textId="77777777" w:rsidR="00225C16" w:rsidRDefault="00225C16" w:rsidP="00053995">
      <w:pPr>
        <w:pStyle w:val="OmniPage1"/>
        <w:ind w:right="45"/>
        <w:jc w:val="both"/>
        <w:rPr>
          <w:sz w:val="16"/>
          <w:szCs w:val="16"/>
          <w:lang w:val="fr-FR" w:eastAsia="fr-FR"/>
        </w:rPr>
      </w:pPr>
    </w:p>
    <w:p w14:paraId="01EDCF25" w14:textId="01EB98B2" w:rsidR="00081411" w:rsidRPr="00081411" w:rsidRDefault="00081411" w:rsidP="00C0718C">
      <w:pPr>
        <w:pStyle w:val="OmniPage1"/>
        <w:ind w:right="45"/>
        <w:jc w:val="both"/>
        <w:rPr>
          <w:sz w:val="16"/>
          <w:szCs w:val="16"/>
          <w:lang w:val="fr-FR" w:eastAsia="fr-FR"/>
        </w:rPr>
      </w:pPr>
      <w:r w:rsidRPr="00081411">
        <w:rPr>
          <w:sz w:val="16"/>
          <w:szCs w:val="16"/>
          <w:lang w:val="fr-FR" w:eastAsia="fr-FR"/>
        </w:rPr>
        <w:t xml:space="preserve">Dans les cas listés ci-dessous, les Parties conviennent </w:t>
      </w:r>
      <w:r w:rsidR="00DB76E3">
        <w:rPr>
          <w:sz w:val="16"/>
          <w:szCs w:val="16"/>
          <w:lang w:val="fr-FR" w:eastAsia="fr-FR"/>
        </w:rPr>
        <w:t>que le Client ne sera pas redevable du premier mois d’abonnement précité</w:t>
      </w:r>
      <w:r w:rsidRPr="00081411">
        <w:rPr>
          <w:sz w:val="16"/>
          <w:szCs w:val="16"/>
          <w:lang w:val="fr-FR" w:eastAsia="fr-FR"/>
        </w:rPr>
        <w:t xml:space="preserve"> :</w:t>
      </w:r>
    </w:p>
    <w:p w14:paraId="10EFD62E" w14:textId="66A3344C" w:rsidR="00896DE0" w:rsidRPr="00081411" w:rsidRDefault="00081411" w:rsidP="00C0718C">
      <w:pPr>
        <w:pStyle w:val="OmniPage1"/>
        <w:ind w:right="45"/>
        <w:jc w:val="both"/>
        <w:rPr>
          <w:sz w:val="16"/>
          <w:szCs w:val="16"/>
          <w:lang w:val="fr-FR" w:eastAsia="fr-FR"/>
        </w:rPr>
      </w:pPr>
      <w:r w:rsidRPr="00081411">
        <w:rPr>
          <w:sz w:val="16"/>
          <w:szCs w:val="16"/>
          <w:lang w:val="fr-FR" w:eastAsia="fr-FR"/>
        </w:rPr>
        <w:t>•</w:t>
      </w:r>
      <w:r w:rsidRPr="00081411">
        <w:rPr>
          <w:sz w:val="16"/>
          <w:szCs w:val="16"/>
          <w:lang w:val="fr-FR" w:eastAsia="fr-FR"/>
        </w:rPr>
        <w:tab/>
        <w:t>Résiliation avant la Date de Début du Service des Liens d’Accès lié à une inéligibilité de l’</w:t>
      </w:r>
      <w:r w:rsidR="00C0718C">
        <w:rPr>
          <w:sz w:val="16"/>
          <w:szCs w:val="16"/>
          <w:lang w:val="fr-FR" w:eastAsia="fr-FR"/>
        </w:rPr>
        <w:t>Utilisateur Final,</w:t>
      </w:r>
      <w:r w:rsidR="00F81C4F">
        <w:rPr>
          <w:sz w:val="16"/>
          <w:szCs w:val="16"/>
          <w:lang w:val="fr-FR" w:eastAsia="fr-FR"/>
        </w:rPr>
        <w:t xml:space="preserve"> </w:t>
      </w:r>
    </w:p>
    <w:p w14:paraId="1D7555A8" w14:textId="2CC4737E" w:rsidR="00081411" w:rsidRDefault="00081411" w:rsidP="005037A0">
      <w:pPr>
        <w:pStyle w:val="OmniPage1"/>
        <w:ind w:right="45"/>
        <w:jc w:val="both"/>
        <w:rPr>
          <w:sz w:val="16"/>
          <w:szCs w:val="16"/>
          <w:lang w:val="fr-FR" w:eastAsia="fr-FR"/>
        </w:rPr>
      </w:pPr>
      <w:r w:rsidRPr="00081411">
        <w:rPr>
          <w:sz w:val="16"/>
          <w:szCs w:val="16"/>
          <w:lang w:val="fr-FR" w:eastAsia="fr-FR"/>
        </w:rPr>
        <w:t>•</w:t>
      </w:r>
      <w:r w:rsidRPr="00081411">
        <w:rPr>
          <w:sz w:val="16"/>
          <w:szCs w:val="16"/>
          <w:lang w:val="fr-FR" w:eastAsia="fr-FR"/>
        </w:rPr>
        <w:tab/>
        <w:t>Exercice par l’Utilisateur Final de son droit de rétractation</w:t>
      </w:r>
      <w:r w:rsidR="000603A0">
        <w:rPr>
          <w:sz w:val="16"/>
          <w:szCs w:val="16"/>
          <w:lang w:val="fr-FR" w:eastAsia="fr-FR"/>
        </w:rPr>
        <w:t>.</w:t>
      </w:r>
    </w:p>
    <w:p w14:paraId="078F8550" w14:textId="77777777" w:rsidR="000603A0" w:rsidRDefault="000603A0" w:rsidP="005037A0">
      <w:pPr>
        <w:pStyle w:val="OmniPage1"/>
        <w:ind w:right="45"/>
        <w:jc w:val="both"/>
        <w:rPr>
          <w:sz w:val="16"/>
          <w:szCs w:val="16"/>
          <w:lang w:val="fr-FR" w:eastAsia="fr-FR"/>
        </w:rPr>
      </w:pPr>
    </w:p>
    <w:p w14:paraId="3963C40E" w14:textId="45CAD20C" w:rsidR="00590AF1" w:rsidRDefault="00DB76E3" w:rsidP="008705EF">
      <w:pPr>
        <w:rPr>
          <w:szCs w:val="16"/>
        </w:rPr>
      </w:pPr>
      <w:r>
        <w:rPr>
          <w:szCs w:val="16"/>
        </w:rPr>
        <w:t>Néanmoins,</w:t>
      </w:r>
      <w:r w:rsidR="00896DE0">
        <w:rPr>
          <w:szCs w:val="16"/>
        </w:rPr>
        <w:t xml:space="preserve"> </w:t>
      </w:r>
      <w:r w:rsidR="005B13A2">
        <w:rPr>
          <w:szCs w:val="16"/>
        </w:rPr>
        <w:t xml:space="preserve">dans les deux cas listés ci-dessus et </w:t>
      </w:r>
      <w:r>
        <w:rPr>
          <w:szCs w:val="16"/>
        </w:rPr>
        <w:t xml:space="preserve"> dans l’hypothèse où un déplacement du Fournisseur a été réalisé, une pénalité pour « D</w:t>
      </w:r>
      <w:r w:rsidRPr="00DB76E3">
        <w:rPr>
          <w:szCs w:val="16"/>
        </w:rPr>
        <w:t>éplacement à tort – Annulation de commande après déplacement du technicien</w:t>
      </w:r>
      <w:r>
        <w:rPr>
          <w:szCs w:val="16"/>
        </w:rPr>
        <w:t> » sera facturée au Client dans les conditions décrites à l’Annexe 1.A.</w:t>
      </w:r>
    </w:p>
    <w:p w14:paraId="1B95EC11" w14:textId="77777777" w:rsidR="001F7309" w:rsidRDefault="001F7309" w:rsidP="001F7309">
      <w:pPr>
        <w:rPr>
          <w:szCs w:val="16"/>
        </w:rPr>
      </w:pPr>
    </w:p>
    <w:p w14:paraId="618E1427" w14:textId="30A11CD9" w:rsidR="001F7309" w:rsidRPr="00850EA7" w:rsidRDefault="001F7309" w:rsidP="001F7309">
      <w:pPr>
        <w:pStyle w:val="Styletitre3"/>
      </w:pPr>
      <w:r>
        <w:t xml:space="preserve"> Résiliation d’une option de GTR 10H</w:t>
      </w:r>
    </w:p>
    <w:p w14:paraId="3A70FC90" w14:textId="354B6064" w:rsidR="001F7309" w:rsidRDefault="001F7309" w:rsidP="008705EF">
      <w:pPr>
        <w:rPr>
          <w:szCs w:val="16"/>
        </w:rPr>
      </w:pPr>
      <w:r>
        <w:rPr>
          <w:szCs w:val="16"/>
        </w:rPr>
        <w:t>Le Client peut résilier à tout moment l’option de GTR 10H souscrite sur une Ligne FTTH Active</w:t>
      </w:r>
      <w:r w:rsidR="00EC6C58">
        <w:rPr>
          <w:szCs w:val="16"/>
        </w:rPr>
        <w:t>, sous réserve d’avoir notifié par voie électronique au Fournisseur la résiliation au moins cinq (5) Jours Ouvrés avant la date d’effet de la résiliation.</w:t>
      </w:r>
    </w:p>
    <w:p w14:paraId="06427B2C" w14:textId="77777777" w:rsidR="00EC6C58" w:rsidRDefault="00EC6C58" w:rsidP="008705EF">
      <w:pPr>
        <w:rPr>
          <w:szCs w:val="16"/>
        </w:rPr>
      </w:pPr>
    </w:p>
    <w:p w14:paraId="1078673C" w14:textId="62AD5A03" w:rsidR="00EC6C58" w:rsidRDefault="00EC6C58" w:rsidP="008705EF">
      <w:pPr>
        <w:rPr>
          <w:szCs w:val="16"/>
        </w:rPr>
      </w:pPr>
      <w:r>
        <w:rPr>
          <w:szCs w:val="16"/>
        </w:rPr>
        <w:t>Tel que précisé à l’article 10.3, si la résiliation intervient dans les trente (30) jours suivant la date d’émission de l’Avis de mise à disposition du Service correspondant à l’activation de l’option, le Client est alors redevable d’un (1) mois d’abonnement tel que prévu en Annexe 1.</w:t>
      </w:r>
    </w:p>
    <w:p w14:paraId="3773ABF5" w14:textId="77777777" w:rsidR="00990CB1" w:rsidRDefault="00990CB1" w:rsidP="008705EF">
      <w:pPr>
        <w:rPr>
          <w:szCs w:val="16"/>
        </w:rPr>
      </w:pPr>
    </w:p>
    <w:p w14:paraId="7A133FEE" w14:textId="367FE2B2" w:rsidR="00990CB1" w:rsidRDefault="00990CB1" w:rsidP="00990CB1">
      <w:pPr>
        <w:pStyle w:val="StyleTitre2"/>
      </w:pPr>
      <w:r>
        <w:t>Résiliation d’une Ligne FTTH Active pour perte d’accès</w:t>
      </w:r>
    </w:p>
    <w:p w14:paraId="4644D9CE" w14:textId="3DD30868" w:rsidR="00275FBC" w:rsidRPr="004631F5" w:rsidRDefault="00990CB1" w:rsidP="004631F5">
      <w:r w:rsidRPr="004631F5">
        <w:t xml:space="preserve">Le Service étant exclusif, </w:t>
      </w:r>
      <w:r w:rsidR="005F7374" w:rsidRPr="004631F5">
        <w:t xml:space="preserve">toute </w:t>
      </w:r>
      <w:r w:rsidR="008A3DEC" w:rsidRPr="004631F5">
        <w:t xml:space="preserve">nouvelle </w:t>
      </w:r>
      <w:r w:rsidR="005F7374" w:rsidRPr="004631F5">
        <w:t>commande de Ligne FTTH (Passive ou Active) sur un lien du Client bénéficiaire du Service entraîne automatiquement la résiliation du</w:t>
      </w:r>
      <w:r w:rsidR="008A3DEC" w:rsidRPr="004631F5">
        <w:t>dit</w:t>
      </w:r>
      <w:r w:rsidR="005F7374" w:rsidRPr="004631F5">
        <w:t xml:space="preserve"> Service sur cette Ligne.</w:t>
      </w:r>
    </w:p>
    <w:p w14:paraId="31D2B1C0" w14:textId="77777777" w:rsidR="00275FBC" w:rsidRPr="004631F5" w:rsidRDefault="00275FBC" w:rsidP="004631F5"/>
    <w:p w14:paraId="5A5F6C7B" w14:textId="0642A872" w:rsidR="005F7374" w:rsidRPr="004631F5" w:rsidRDefault="005F7374" w:rsidP="004631F5">
      <w:r w:rsidRPr="004631F5">
        <w:t>Le Client est informé de ladite résiliation dès la mise en service du nouveau lien,</w:t>
      </w:r>
      <w:r w:rsidR="00633053" w:rsidRPr="004631F5">
        <w:t xml:space="preserve"> </w:t>
      </w:r>
      <w:r w:rsidR="005B13A2" w:rsidRPr="004631F5">
        <w:t xml:space="preserve">soit </w:t>
      </w:r>
      <w:r w:rsidRPr="004631F5">
        <w:t xml:space="preserve"> par notification électronique</w:t>
      </w:r>
      <w:r w:rsidR="00633053" w:rsidRPr="004631F5">
        <w:t xml:space="preserve"> </w:t>
      </w:r>
      <w:r w:rsidR="005B13A2" w:rsidRPr="004631F5">
        <w:t xml:space="preserve">soit par fichier, selon le mode d’échange convenu entre les </w:t>
      </w:r>
      <w:proofErr w:type="gramStart"/>
      <w:r w:rsidR="005B13A2" w:rsidRPr="004631F5">
        <w:t xml:space="preserve">Parties </w:t>
      </w:r>
      <w:r w:rsidRPr="004631F5">
        <w:t>.</w:t>
      </w:r>
      <w:proofErr w:type="gramEnd"/>
      <w:r w:rsidRPr="004631F5">
        <w:t xml:space="preserve"> La résiliation est effective</w:t>
      </w:r>
      <w:r w:rsidR="00986AD6" w:rsidRPr="004631F5">
        <w:t xml:space="preserve"> immédiatement</w:t>
      </w:r>
      <w:r w:rsidRPr="004631F5">
        <w:t xml:space="preserve"> à compter de l’envoi de cette notification.</w:t>
      </w:r>
    </w:p>
    <w:p w14:paraId="43652580" w14:textId="77777777" w:rsidR="00F039F0" w:rsidRDefault="00F039F0" w:rsidP="008705EF">
      <w:pPr>
        <w:rPr>
          <w:szCs w:val="16"/>
        </w:rPr>
      </w:pPr>
    </w:p>
    <w:p w14:paraId="1A5C863B" w14:textId="77777777" w:rsidR="00C3469E" w:rsidRDefault="00C3469E" w:rsidP="00C3469E">
      <w:pPr>
        <w:pStyle w:val="StyleTitre2"/>
      </w:pPr>
      <w:r>
        <w:t xml:space="preserve">Résiliation d’une Porte de Livraison </w:t>
      </w:r>
    </w:p>
    <w:p w14:paraId="6A963A08" w14:textId="77777777" w:rsidR="00465A5F" w:rsidRDefault="00CE2E48" w:rsidP="00465A5F">
      <w:r>
        <w:t>Comme indiqué à l’article 6.</w:t>
      </w:r>
      <w:r w:rsidR="00464FFF">
        <w:t>1</w:t>
      </w:r>
      <w:r>
        <w:t xml:space="preserve">.2 « Durée », </w:t>
      </w:r>
      <w:r w:rsidR="00141602" w:rsidRPr="00034E8C">
        <w:rPr>
          <w:szCs w:val="16"/>
        </w:rPr>
        <w:t>à l’</w:t>
      </w:r>
      <w:r w:rsidR="00141602">
        <w:rPr>
          <w:szCs w:val="16"/>
        </w:rPr>
        <w:t>issue de la période initiale</w:t>
      </w:r>
      <w:r w:rsidR="00141602">
        <w:t xml:space="preserve"> </w:t>
      </w:r>
      <w:r>
        <w:t>l</w:t>
      </w:r>
      <w:r w:rsidR="00465A5F">
        <w:t xml:space="preserve">e Client peut résilier à tout moment une Porte de Livraison, sous réserve d’avoir notifié au Fournisseur la résiliation </w:t>
      </w:r>
      <w:r w:rsidR="00555044">
        <w:t xml:space="preserve">au moins un (1) mois </w:t>
      </w:r>
      <w:r w:rsidR="00465A5F">
        <w:t>avant la date d’effet de la résiliation.</w:t>
      </w:r>
    </w:p>
    <w:p w14:paraId="203D3261" w14:textId="77777777" w:rsidR="0062780D" w:rsidRDefault="0062780D" w:rsidP="00465A5F"/>
    <w:p w14:paraId="1F3DE15E" w14:textId="268B9E97" w:rsidR="0056662E" w:rsidRDefault="0062780D" w:rsidP="008705EF">
      <w:pPr>
        <w:rPr>
          <w:szCs w:val="16"/>
        </w:rPr>
      </w:pPr>
      <w:r>
        <w:rPr>
          <w:szCs w:val="16"/>
        </w:rPr>
        <w:t>La résiliation d’une Porte de Livraison entraîne automatiquement et de plein droit la résiliation des Lignes FTTH Actives associées à la Porte de Livraison résiliée. Les modalités financières de la résiliation des Lignes FTTH Actives sont les mêmes que celles décrites à l’article 7.1.</w:t>
      </w:r>
    </w:p>
    <w:p w14:paraId="2260CD86" w14:textId="77777777" w:rsidR="00CB5AC1" w:rsidRPr="00CB5AC1" w:rsidRDefault="00CB5AC1" w:rsidP="004631F5">
      <w:pPr>
        <w:spacing w:line="180" w:lineRule="exact"/>
        <w:ind w:left="425"/>
        <w:rPr>
          <w:lang w:eastAsia="en-US"/>
        </w:rPr>
      </w:pPr>
    </w:p>
    <w:p w14:paraId="3B3FCCA6" w14:textId="77777777" w:rsidR="00EE022C" w:rsidRDefault="00EE022C" w:rsidP="008705EF">
      <w:pPr>
        <w:rPr>
          <w:szCs w:val="16"/>
        </w:rPr>
      </w:pPr>
    </w:p>
    <w:p w14:paraId="0164FCB0" w14:textId="77777777" w:rsidR="002A5A87" w:rsidRDefault="00D45B8A" w:rsidP="002A5A87">
      <w:pPr>
        <w:pStyle w:val="StyleTitre1"/>
      </w:pPr>
      <w:r>
        <w:t>Cession ou fin de la délégation de service public</w:t>
      </w:r>
    </w:p>
    <w:p w14:paraId="1A3E94C7" w14:textId="77777777" w:rsidR="00435607" w:rsidRPr="00435607" w:rsidRDefault="00435607" w:rsidP="00286400">
      <w:pPr>
        <w:spacing w:line="180" w:lineRule="exact"/>
        <w:rPr>
          <w:szCs w:val="16"/>
        </w:rPr>
      </w:pPr>
      <w:r w:rsidRPr="00435607">
        <w:rPr>
          <w:szCs w:val="16"/>
        </w:rPr>
        <w:t>Sans préjudice des cas de résiliation prévus à l’article 14 des Conditions Générales de la Convention Cadre :</w:t>
      </w:r>
    </w:p>
    <w:p w14:paraId="6DDE498B" w14:textId="77777777" w:rsidR="00435607" w:rsidRPr="00435607" w:rsidRDefault="00435607" w:rsidP="00286400">
      <w:pPr>
        <w:spacing w:line="180" w:lineRule="exact"/>
        <w:rPr>
          <w:szCs w:val="16"/>
          <w:lang w:eastAsia="en-US"/>
        </w:rPr>
      </w:pPr>
    </w:p>
    <w:p w14:paraId="03B84822" w14:textId="77777777" w:rsidR="00435607" w:rsidRPr="00435607" w:rsidRDefault="00435607" w:rsidP="00286400">
      <w:pPr>
        <w:pStyle w:val="StyleTitre1"/>
        <w:numPr>
          <w:ilvl w:val="0"/>
          <w:numId w:val="19"/>
        </w:numPr>
        <w:snapToGrid w:val="0"/>
        <w:spacing w:line="180" w:lineRule="exact"/>
        <w:ind w:left="284" w:hanging="207"/>
        <w:outlineLvl w:val="9"/>
        <w:rPr>
          <w:b w:val="0"/>
          <w:bCs w:val="0"/>
          <w:caps w:val="0"/>
          <w:color w:val="auto"/>
          <w:sz w:val="16"/>
          <w:szCs w:val="16"/>
          <w:lang w:eastAsia="en-US"/>
        </w:rPr>
      </w:pPr>
      <w:r w:rsidRPr="00435607">
        <w:rPr>
          <w:b w:val="0"/>
          <w:bCs w:val="0"/>
          <w:caps w:val="0"/>
          <w:color w:val="auto"/>
          <w:sz w:val="16"/>
          <w:szCs w:val="16"/>
          <w:lang w:eastAsia="en-US"/>
        </w:rPr>
        <w:t>En cas de cession de la délégation de service public dont l</w:t>
      </w:r>
      <w:r w:rsidRPr="00435607">
        <w:rPr>
          <w:b w:val="0"/>
          <w:bCs w:val="0"/>
          <w:caps w:val="0"/>
          <w:color w:val="000000"/>
          <w:sz w:val="16"/>
          <w:szCs w:val="16"/>
          <w:lang w:eastAsia="en-US"/>
        </w:rPr>
        <w:t>a</w:t>
      </w:r>
      <w:r w:rsidRPr="00435607">
        <w:rPr>
          <w:b w:val="0"/>
          <w:bCs w:val="0"/>
          <w:caps w:val="0"/>
          <w:color w:val="auto"/>
          <w:sz w:val="16"/>
          <w:szCs w:val="16"/>
          <w:lang w:eastAsia="en-US"/>
        </w:rPr>
        <w:t xml:space="preserve"> </w:t>
      </w:r>
      <w:r w:rsidRPr="00435607">
        <w:rPr>
          <w:b w:val="0"/>
          <w:bCs w:val="0"/>
          <w:caps w:val="0"/>
          <w:color w:val="000000"/>
          <w:sz w:val="16"/>
          <w:szCs w:val="16"/>
          <w:lang w:eastAsia="en-US"/>
        </w:rPr>
        <w:t>Mandante</w:t>
      </w:r>
      <w:r w:rsidRPr="00435607">
        <w:rPr>
          <w:b w:val="0"/>
          <w:bCs w:val="0"/>
          <w:caps w:val="0"/>
          <w:color w:val="auto"/>
          <w:sz w:val="16"/>
          <w:szCs w:val="16"/>
          <w:lang w:eastAsia="en-US"/>
        </w:rPr>
        <w:t xml:space="preserve"> est titulaire et au titre duquel elle commercialise le Service, </w:t>
      </w:r>
    </w:p>
    <w:p w14:paraId="4FB3E823" w14:textId="77777777" w:rsidR="00435607" w:rsidRPr="00435607" w:rsidRDefault="00435607" w:rsidP="00286400">
      <w:pPr>
        <w:pStyle w:val="StyleTitre1"/>
        <w:numPr>
          <w:ilvl w:val="0"/>
          <w:numId w:val="20"/>
        </w:numPr>
        <w:snapToGrid w:val="0"/>
        <w:spacing w:line="180" w:lineRule="exact"/>
        <w:outlineLvl w:val="9"/>
        <w:rPr>
          <w:b w:val="0"/>
          <w:bCs w:val="0"/>
          <w:caps w:val="0"/>
          <w:color w:val="auto"/>
          <w:sz w:val="16"/>
          <w:szCs w:val="16"/>
          <w:lang w:eastAsia="en-US"/>
        </w:rPr>
      </w:pPr>
      <w:r w:rsidRPr="00435607">
        <w:rPr>
          <w:b w:val="0"/>
          <w:bCs w:val="0"/>
          <w:caps w:val="0"/>
          <w:color w:val="auto"/>
          <w:sz w:val="16"/>
          <w:szCs w:val="16"/>
          <w:lang w:eastAsia="en-US"/>
        </w:rPr>
        <w:lastRenderedPageBreak/>
        <w:t>Dans une telle hypothèse et en cas de maintien du mandat de commercialisation au bénéfice d’Axione, le cessionnaire sera subrogé dans les droits et obligations de ladite Mandante et remplacera cette dernière dans le cadre du présent Contrat, ce que le Client accepte d’ores et déjà expressément</w:t>
      </w:r>
    </w:p>
    <w:p w14:paraId="43DD71DD" w14:textId="77777777" w:rsidR="00435607" w:rsidRPr="00435607" w:rsidRDefault="00435607" w:rsidP="00286400">
      <w:pPr>
        <w:pStyle w:val="StyleTitre1"/>
        <w:numPr>
          <w:ilvl w:val="0"/>
          <w:numId w:val="20"/>
        </w:numPr>
        <w:snapToGrid w:val="0"/>
        <w:spacing w:line="180" w:lineRule="exact"/>
        <w:outlineLvl w:val="9"/>
        <w:rPr>
          <w:b w:val="0"/>
          <w:bCs w:val="0"/>
          <w:caps w:val="0"/>
          <w:color w:val="auto"/>
          <w:sz w:val="16"/>
          <w:szCs w:val="16"/>
          <w:lang w:eastAsia="en-US"/>
        </w:rPr>
      </w:pPr>
      <w:r w:rsidRPr="00435607">
        <w:rPr>
          <w:b w:val="0"/>
          <w:bCs w:val="0"/>
          <w:caps w:val="0"/>
          <w:color w:val="auto"/>
          <w:sz w:val="16"/>
          <w:szCs w:val="16"/>
          <w:lang w:eastAsia="en-US"/>
        </w:rPr>
        <w:t xml:space="preserve">Si le mandat de commercialisation avec Axione venait à être résilié, la Mandante s’engage toutefois à ce que la cession soit conditionnée (i) à l’engagement du cessionnaire de conclure avec le Client, un contrat </w:t>
      </w:r>
      <w:r>
        <w:rPr>
          <w:b w:val="0"/>
          <w:bCs w:val="0"/>
          <w:caps w:val="0"/>
          <w:color w:val="auto"/>
          <w:sz w:val="16"/>
          <w:szCs w:val="16"/>
          <w:lang w:eastAsia="en-US"/>
        </w:rPr>
        <w:t>FTTH actif</w:t>
      </w:r>
      <w:r w:rsidRPr="00435607">
        <w:rPr>
          <w:b w:val="0"/>
          <w:bCs w:val="0"/>
          <w:caps w:val="0"/>
          <w:color w:val="auto"/>
          <w:sz w:val="16"/>
          <w:szCs w:val="16"/>
          <w:lang w:eastAsia="en-US"/>
        </w:rPr>
        <w:t xml:space="preserve"> dans des conditions similaires à ceux du présent Contrat et (ii) à la reprise par le cessionnaire des Commandes en cours, sans modification substantielle, ce que le Client accepte d’ores et déjà.</w:t>
      </w:r>
    </w:p>
    <w:p w14:paraId="2165FB63" w14:textId="77777777" w:rsidR="00435607" w:rsidRPr="00435607" w:rsidRDefault="00435607" w:rsidP="00286400">
      <w:pPr>
        <w:pStyle w:val="StyleTitre1"/>
        <w:numPr>
          <w:ilvl w:val="0"/>
          <w:numId w:val="0"/>
        </w:numPr>
        <w:snapToGrid w:val="0"/>
        <w:spacing w:line="180" w:lineRule="exact"/>
        <w:ind w:left="1440"/>
        <w:outlineLvl w:val="9"/>
        <w:rPr>
          <w:b w:val="0"/>
          <w:bCs w:val="0"/>
          <w:caps w:val="0"/>
          <w:color w:val="auto"/>
          <w:sz w:val="16"/>
          <w:szCs w:val="16"/>
          <w:lang w:eastAsia="en-US"/>
        </w:rPr>
      </w:pPr>
    </w:p>
    <w:p w14:paraId="6069BF1C" w14:textId="14F130F7" w:rsidR="00435607" w:rsidRPr="00435607" w:rsidRDefault="00435607" w:rsidP="00286400">
      <w:pPr>
        <w:pStyle w:val="StyleTitre1"/>
        <w:numPr>
          <w:ilvl w:val="0"/>
          <w:numId w:val="19"/>
        </w:numPr>
        <w:snapToGrid w:val="0"/>
        <w:spacing w:line="180" w:lineRule="exact"/>
        <w:ind w:left="284" w:hanging="207"/>
        <w:outlineLvl w:val="9"/>
        <w:rPr>
          <w:b w:val="0"/>
          <w:bCs w:val="0"/>
          <w:caps w:val="0"/>
          <w:color w:val="auto"/>
          <w:sz w:val="16"/>
          <w:szCs w:val="16"/>
          <w:lang w:eastAsia="en-US"/>
        </w:rPr>
      </w:pPr>
      <w:r w:rsidRPr="00435607">
        <w:rPr>
          <w:b w:val="0"/>
          <w:bCs w:val="0"/>
          <w:caps w:val="0"/>
          <w:color w:val="auto"/>
          <w:sz w:val="16"/>
          <w:szCs w:val="16"/>
          <w:lang w:eastAsia="en-US"/>
        </w:rPr>
        <w:t>En cas de fin normale ou anticipée de la délégation de service public</w:t>
      </w:r>
      <w:r w:rsidR="000B6018">
        <w:rPr>
          <w:b w:val="0"/>
          <w:bCs w:val="0"/>
          <w:caps w:val="0"/>
          <w:color w:val="auto"/>
          <w:sz w:val="16"/>
          <w:szCs w:val="16"/>
          <w:lang w:eastAsia="en-US"/>
        </w:rPr>
        <w:t xml:space="preserve"> ou en cas de cession ou transfert du réseau FTTH à l’initiative de la Collectivité Locale Délégante</w:t>
      </w:r>
      <w:r w:rsidRPr="00435607">
        <w:rPr>
          <w:b w:val="0"/>
          <w:bCs w:val="0"/>
          <w:caps w:val="0"/>
          <w:color w:val="auto"/>
          <w:sz w:val="16"/>
          <w:szCs w:val="16"/>
          <w:lang w:eastAsia="en-US"/>
        </w:rPr>
        <w:t>, l</w:t>
      </w:r>
      <w:r w:rsidRPr="00435607">
        <w:rPr>
          <w:b w:val="0"/>
          <w:bCs w:val="0"/>
          <w:caps w:val="0"/>
          <w:color w:val="000000"/>
          <w:sz w:val="16"/>
          <w:szCs w:val="16"/>
          <w:lang w:eastAsia="en-US"/>
        </w:rPr>
        <w:t>a</w:t>
      </w:r>
      <w:r w:rsidRPr="00435607">
        <w:rPr>
          <w:b w:val="0"/>
          <w:bCs w:val="0"/>
          <w:caps w:val="0"/>
          <w:color w:val="auto"/>
          <w:sz w:val="16"/>
          <w:szCs w:val="16"/>
          <w:lang w:eastAsia="en-US"/>
        </w:rPr>
        <w:t xml:space="preserve"> </w:t>
      </w:r>
      <w:r w:rsidRPr="00435607">
        <w:rPr>
          <w:b w:val="0"/>
          <w:bCs w:val="0"/>
          <w:caps w:val="0"/>
          <w:color w:val="000000"/>
          <w:sz w:val="16"/>
          <w:szCs w:val="16"/>
          <w:lang w:eastAsia="en-US"/>
        </w:rPr>
        <w:t>Mandante</w:t>
      </w:r>
      <w:r w:rsidRPr="00435607">
        <w:rPr>
          <w:b w:val="0"/>
          <w:bCs w:val="0"/>
          <w:caps w:val="0"/>
          <w:color w:val="auto"/>
          <w:sz w:val="16"/>
          <w:szCs w:val="16"/>
          <w:lang w:eastAsia="en-US"/>
        </w:rPr>
        <w:t xml:space="preserve"> s’engage à informer le Client sans délai.  L</w:t>
      </w:r>
      <w:r w:rsidRPr="00435607">
        <w:rPr>
          <w:b w:val="0"/>
          <w:bCs w:val="0"/>
          <w:caps w:val="0"/>
          <w:color w:val="000000"/>
          <w:sz w:val="16"/>
          <w:szCs w:val="16"/>
          <w:lang w:eastAsia="en-US"/>
        </w:rPr>
        <w:t>a</w:t>
      </w:r>
      <w:r w:rsidRPr="00435607">
        <w:rPr>
          <w:b w:val="0"/>
          <w:bCs w:val="0"/>
          <w:caps w:val="0"/>
          <w:color w:val="auto"/>
          <w:sz w:val="16"/>
          <w:szCs w:val="16"/>
          <w:lang w:eastAsia="en-US"/>
        </w:rPr>
        <w:t xml:space="preserve"> </w:t>
      </w:r>
      <w:r w:rsidRPr="00435607">
        <w:rPr>
          <w:b w:val="0"/>
          <w:bCs w:val="0"/>
          <w:caps w:val="0"/>
          <w:color w:val="000000"/>
          <w:sz w:val="16"/>
          <w:szCs w:val="16"/>
          <w:lang w:eastAsia="en-US"/>
        </w:rPr>
        <w:t>Mandante</w:t>
      </w:r>
      <w:r w:rsidRPr="00435607">
        <w:rPr>
          <w:b w:val="0"/>
          <w:bCs w:val="0"/>
          <w:caps w:val="0"/>
          <w:color w:val="auto"/>
          <w:sz w:val="16"/>
          <w:szCs w:val="16"/>
          <w:lang w:eastAsia="en-US"/>
        </w:rPr>
        <w:t xml:space="preserve"> </w:t>
      </w:r>
      <w:r w:rsidRPr="00435607">
        <w:rPr>
          <w:b w:val="0"/>
          <w:bCs w:val="0"/>
          <w:caps w:val="0"/>
          <w:color w:val="000000"/>
          <w:sz w:val="16"/>
          <w:szCs w:val="16"/>
          <w:lang w:eastAsia="en-US"/>
        </w:rPr>
        <w:t xml:space="preserve">et la Collectivité Locale Délégante </w:t>
      </w:r>
      <w:r w:rsidR="000B6018">
        <w:rPr>
          <w:b w:val="0"/>
          <w:bCs w:val="0"/>
          <w:caps w:val="0"/>
          <w:color w:val="000000"/>
          <w:sz w:val="16"/>
          <w:szCs w:val="16"/>
          <w:lang w:eastAsia="en-US"/>
        </w:rPr>
        <w:t xml:space="preserve">ou le cessionnaire </w:t>
      </w:r>
      <w:r w:rsidR="003E355A">
        <w:rPr>
          <w:b w:val="0"/>
          <w:bCs w:val="0"/>
          <w:caps w:val="0"/>
          <w:color w:val="auto"/>
          <w:sz w:val="16"/>
          <w:szCs w:val="16"/>
          <w:lang w:eastAsia="en-US"/>
        </w:rPr>
        <w:t>pourront</w:t>
      </w:r>
      <w:r w:rsidRPr="00435607">
        <w:rPr>
          <w:b w:val="0"/>
          <w:bCs w:val="0"/>
          <w:caps w:val="0"/>
          <w:color w:val="auto"/>
          <w:sz w:val="16"/>
          <w:szCs w:val="16"/>
          <w:lang w:eastAsia="en-US"/>
        </w:rPr>
        <w:t> :</w:t>
      </w:r>
    </w:p>
    <w:p w14:paraId="53D56D36" w14:textId="77777777" w:rsidR="003E355A" w:rsidRDefault="003E355A" w:rsidP="00286400">
      <w:pPr>
        <w:pStyle w:val="StyleTitre1"/>
        <w:numPr>
          <w:ilvl w:val="0"/>
          <w:numId w:val="21"/>
        </w:numPr>
        <w:snapToGrid w:val="0"/>
        <w:spacing w:line="180" w:lineRule="exact"/>
        <w:outlineLvl w:val="9"/>
        <w:rPr>
          <w:b w:val="0"/>
          <w:bCs w:val="0"/>
          <w:caps w:val="0"/>
          <w:color w:val="auto"/>
          <w:sz w:val="16"/>
          <w:szCs w:val="16"/>
          <w:lang w:eastAsia="en-US"/>
        </w:rPr>
      </w:pPr>
      <w:r>
        <w:rPr>
          <w:b w:val="0"/>
          <w:bCs w:val="0"/>
          <w:caps w:val="0"/>
          <w:color w:val="auto"/>
          <w:sz w:val="16"/>
          <w:szCs w:val="16"/>
          <w:lang w:eastAsia="en-US"/>
        </w:rPr>
        <w:t>Soit reprendre le Contrat ;</w:t>
      </w:r>
    </w:p>
    <w:p w14:paraId="3DCB9ADE" w14:textId="77777777" w:rsidR="00435607" w:rsidRDefault="00435607" w:rsidP="00286400">
      <w:pPr>
        <w:pStyle w:val="StyleTitre1"/>
        <w:numPr>
          <w:ilvl w:val="0"/>
          <w:numId w:val="21"/>
        </w:numPr>
        <w:snapToGrid w:val="0"/>
        <w:spacing w:line="180" w:lineRule="exact"/>
        <w:outlineLvl w:val="9"/>
        <w:rPr>
          <w:b w:val="0"/>
          <w:bCs w:val="0"/>
          <w:caps w:val="0"/>
          <w:color w:val="auto"/>
          <w:sz w:val="16"/>
          <w:szCs w:val="16"/>
          <w:lang w:eastAsia="en-US"/>
        </w:rPr>
      </w:pPr>
      <w:r w:rsidRPr="00435607">
        <w:rPr>
          <w:b w:val="0"/>
          <w:bCs w:val="0"/>
          <w:caps w:val="0"/>
          <w:color w:val="auto"/>
          <w:sz w:val="16"/>
          <w:szCs w:val="16"/>
          <w:lang w:eastAsia="en-US"/>
        </w:rPr>
        <w:t xml:space="preserve">Soit </w:t>
      </w:r>
      <w:r w:rsidR="003E355A">
        <w:rPr>
          <w:b w:val="0"/>
          <w:bCs w:val="0"/>
          <w:caps w:val="0"/>
          <w:color w:val="auto"/>
          <w:sz w:val="16"/>
          <w:szCs w:val="16"/>
          <w:lang w:eastAsia="en-US"/>
        </w:rPr>
        <w:t>proposer un nouveau</w:t>
      </w:r>
      <w:r w:rsidR="0016438D">
        <w:rPr>
          <w:b w:val="0"/>
          <w:bCs w:val="0"/>
          <w:caps w:val="0"/>
          <w:color w:val="auto"/>
          <w:sz w:val="16"/>
          <w:szCs w:val="16"/>
          <w:lang w:eastAsia="en-US"/>
        </w:rPr>
        <w:t xml:space="preserve"> contrat de</w:t>
      </w:r>
      <w:r w:rsidR="003E355A">
        <w:rPr>
          <w:b w:val="0"/>
          <w:bCs w:val="0"/>
          <w:caps w:val="0"/>
          <w:color w:val="auto"/>
          <w:sz w:val="16"/>
          <w:szCs w:val="16"/>
          <w:lang w:eastAsia="en-US"/>
        </w:rPr>
        <w:t xml:space="preserve"> service, en tenant compte des contraintes techniques liées à la migration éventuelle des Service du Client</w:t>
      </w:r>
      <w:r w:rsidR="0016438D">
        <w:rPr>
          <w:b w:val="0"/>
          <w:bCs w:val="0"/>
          <w:caps w:val="0"/>
          <w:color w:val="auto"/>
          <w:sz w:val="16"/>
          <w:szCs w:val="16"/>
          <w:lang w:eastAsia="en-US"/>
        </w:rPr>
        <w:t xml:space="preserve"> </w:t>
      </w:r>
      <w:r w:rsidRPr="00435607">
        <w:rPr>
          <w:b w:val="0"/>
          <w:bCs w:val="0"/>
          <w:caps w:val="0"/>
          <w:color w:val="auto"/>
          <w:sz w:val="16"/>
          <w:szCs w:val="16"/>
          <w:lang w:eastAsia="en-US"/>
        </w:rPr>
        <w:t>;</w:t>
      </w:r>
    </w:p>
    <w:p w14:paraId="4700FFDA" w14:textId="77777777" w:rsidR="00876C16" w:rsidRPr="001176D9" w:rsidRDefault="00001B26" w:rsidP="001176D9">
      <w:pPr>
        <w:pStyle w:val="StyleTitre1"/>
        <w:numPr>
          <w:ilvl w:val="0"/>
          <w:numId w:val="21"/>
        </w:numPr>
        <w:snapToGrid w:val="0"/>
        <w:spacing w:line="180" w:lineRule="exact"/>
        <w:outlineLvl w:val="9"/>
        <w:rPr>
          <w:b w:val="0"/>
          <w:bCs w:val="0"/>
          <w:caps w:val="0"/>
          <w:color w:val="auto"/>
          <w:sz w:val="16"/>
          <w:szCs w:val="16"/>
          <w:lang w:eastAsia="en-US"/>
        </w:rPr>
      </w:pPr>
      <w:r w:rsidRPr="00435607">
        <w:rPr>
          <w:b w:val="0"/>
          <w:bCs w:val="0"/>
          <w:caps w:val="0"/>
          <w:color w:val="auto"/>
          <w:sz w:val="16"/>
          <w:szCs w:val="16"/>
          <w:lang w:eastAsia="en-US"/>
        </w:rPr>
        <w:t xml:space="preserve">Soit fixer des conditions de Fermeture du Service en tenant compte des contraintes techniques liées à la migration éventuelle des Services du Client vers les offres disponibles sur le marché, ce que le Client accepte d’ores et déjà expressément. </w:t>
      </w:r>
    </w:p>
    <w:p w14:paraId="05B68E92" w14:textId="645BFAF3" w:rsidR="0057094D" w:rsidRDefault="0057094D" w:rsidP="000B6018">
      <w:pPr>
        <w:pStyle w:val="StyleTitre1"/>
        <w:numPr>
          <w:ilvl w:val="0"/>
          <w:numId w:val="0"/>
        </w:numPr>
        <w:snapToGrid w:val="0"/>
        <w:spacing w:line="180" w:lineRule="exact"/>
        <w:outlineLvl w:val="9"/>
        <w:rPr>
          <w:b w:val="0"/>
          <w:bCs w:val="0"/>
          <w:caps w:val="0"/>
          <w:color w:val="auto"/>
          <w:sz w:val="16"/>
          <w:szCs w:val="16"/>
          <w:lang w:eastAsia="en-US"/>
        </w:rPr>
      </w:pPr>
    </w:p>
    <w:p w14:paraId="4C93345F" w14:textId="77777777" w:rsidR="0057094D" w:rsidRDefault="0057094D" w:rsidP="00286400">
      <w:pPr>
        <w:pStyle w:val="StyleTitre1"/>
        <w:numPr>
          <w:ilvl w:val="0"/>
          <w:numId w:val="0"/>
        </w:numPr>
        <w:snapToGrid w:val="0"/>
        <w:spacing w:line="180" w:lineRule="exact"/>
        <w:ind w:left="360"/>
        <w:outlineLvl w:val="9"/>
        <w:rPr>
          <w:b w:val="0"/>
          <w:bCs w:val="0"/>
          <w:caps w:val="0"/>
          <w:color w:val="auto"/>
          <w:sz w:val="16"/>
          <w:szCs w:val="16"/>
          <w:lang w:eastAsia="en-US"/>
        </w:rPr>
      </w:pPr>
    </w:p>
    <w:p w14:paraId="7C09F44A" w14:textId="77777777" w:rsidR="00D45B8A" w:rsidRPr="00435607" w:rsidRDefault="00435607" w:rsidP="00286400">
      <w:pPr>
        <w:pStyle w:val="StyleTitre1"/>
        <w:numPr>
          <w:ilvl w:val="0"/>
          <w:numId w:val="0"/>
        </w:numPr>
        <w:snapToGrid w:val="0"/>
        <w:spacing w:line="180" w:lineRule="exact"/>
        <w:ind w:left="360"/>
        <w:outlineLvl w:val="9"/>
        <w:rPr>
          <w:b w:val="0"/>
          <w:bCs w:val="0"/>
          <w:caps w:val="0"/>
          <w:color w:val="auto"/>
          <w:sz w:val="16"/>
          <w:szCs w:val="16"/>
          <w:lang w:eastAsia="en-US"/>
        </w:rPr>
      </w:pPr>
      <w:r w:rsidRPr="00435607">
        <w:rPr>
          <w:b w:val="0"/>
          <w:bCs w:val="0"/>
          <w:caps w:val="0"/>
          <w:color w:val="auto"/>
          <w:sz w:val="16"/>
          <w:szCs w:val="16"/>
          <w:lang w:eastAsia="en-US"/>
        </w:rPr>
        <w:t>En application du principe de continuité du service public, les Commandes seront maintenues pendant une durée permettant de garantir un délai de migration raisonnable au Client.  A la date de signature des présentes, les Parties considèrent qu’un délai raisonnable de migration peut être fixe à vingt-quatre (24) mois</w:t>
      </w:r>
      <w:r w:rsidR="00286400">
        <w:rPr>
          <w:b w:val="0"/>
          <w:bCs w:val="0"/>
          <w:caps w:val="0"/>
          <w:color w:val="auto"/>
          <w:sz w:val="16"/>
          <w:szCs w:val="16"/>
          <w:lang w:eastAsia="en-US"/>
        </w:rPr>
        <w:t>.</w:t>
      </w:r>
    </w:p>
    <w:p w14:paraId="24EDA908" w14:textId="77777777" w:rsidR="00CB5AC1" w:rsidRPr="00CB5AC1" w:rsidRDefault="00CB5AC1" w:rsidP="00286400">
      <w:pPr>
        <w:spacing w:line="180" w:lineRule="exact"/>
        <w:ind w:left="425"/>
        <w:rPr>
          <w:lang w:eastAsia="en-US"/>
        </w:rPr>
      </w:pPr>
    </w:p>
    <w:p w14:paraId="4C7A4BFB" w14:textId="77777777" w:rsidR="00EE022C" w:rsidRDefault="00EE022C" w:rsidP="008705EF">
      <w:pPr>
        <w:rPr>
          <w:szCs w:val="16"/>
        </w:rPr>
      </w:pPr>
    </w:p>
    <w:p w14:paraId="0AC1BF3E" w14:textId="77777777" w:rsidR="00F435AD" w:rsidRPr="000F1FD2" w:rsidRDefault="00F435AD" w:rsidP="00C510F0">
      <w:pPr>
        <w:pStyle w:val="StyleTitre1"/>
      </w:pPr>
      <w:r w:rsidRPr="000F1FD2">
        <w:t>modification reglementaire ou legis-lative</w:t>
      </w:r>
    </w:p>
    <w:p w14:paraId="7A1116AE" w14:textId="77777777" w:rsidR="00482283" w:rsidRPr="00482283" w:rsidRDefault="00482283" w:rsidP="00C510F0">
      <w:pPr>
        <w:rPr>
          <w:szCs w:val="16"/>
        </w:rPr>
      </w:pPr>
      <w:r w:rsidRPr="00482283">
        <w:rPr>
          <w:szCs w:val="16"/>
        </w:rPr>
        <w:t>En cas :</w:t>
      </w:r>
    </w:p>
    <w:p w14:paraId="7CA00F89" w14:textId="77777777" w:rsidR="00482283" w:rsidRPr="00482283" w:rsidRDefault="00482283" w:rsidP="004251AF">
      <w:pPr>
        <w:numPr>
          <w:ilvl w:val="0"/>
          <w:numId w:val="18"/>
        </w:numPr>
        <w:ind w:left="426" w:hanging="284"/>
        <w:rPr>
          <w:szCs w:val="16"/>
        </w:rPr>
      </w:pPr>
      <w:r w:rsidRPr="00482283">
        <w:rPr>
          <w:szCs w:val="16"/>
        </w:rPr>
        <w:t xml:space="preserve">d’évolutions du cadre réglementaire, législatif ou jurisprudentiel, national ou communautaire, et notamment en cas d’évolution des lignes directrices de l’ARCEP (ou de toute autorité s’y substituant) ou </w:t>
      </w:r>
    </w:p>
    <w:p w14:paraId="23810491" w14:textId="77777777" w:rsidR="00482283" w:rsidRPr="00482283" w:rsidRDefault="00482283" w:rsidP="004251AF">
      <w:pPr>
        <w:numPr>
          <w:ilvl w:val="0"/>
          <w:numId w:val="18"/>
        </w:numPr>
        <w:ind w:left="426" w:hanging="284"/>
        <w:rPr>
          <w:szCs w:val="16"/>
        </w:rPr>
      </w:pPr>
      <w:r w:rsidRPr="00482283">
        <w:rPr>
          <w:szCs w:val="16"/>
        </w:rPr>
        <w:t>de décision d’une autorité administrative ou judiciaire, ou</w:t>
      </w:r>
    </w:p>
    <w:p w14:paraId="2798E3A7" w14:textId="031A9BA9" w:rsidR="00482283" w:rsidRPr="00482283" w:rsidRDefault="00482283" w:rsidP="004251AF">
      <w:pPr>
        <w:numPr>
          <w:ilvl w:val="0"/>
          <w:numId w:val="18"/>
        </w:numPr>
        <w:ind w:left="426" w:hanging="284"/>
        <w:rPr>
          <w:szCs w:val="16"/>
        </w:rPr>
      </w:pPr>
      <w:r w:rsidRPr="00482283">
        <w:rPr>
          <w:szCs w:val="16"/>
        </w:rPr>
        <w:t>d’avis ou de décision de l’ARCEP (ou de toute autorité s’y substituant) sur le présent Contrat, émis en application des dispositions de l’article L.1425-1 VI du CGCT ou de tout artic</w:t>
      </w:r>
      <w:r>
        <w:rPr>
          <w:szCs w:val="16"/>
        </w:rPr>
        <w:t>le ou disposition le remplaçant</w:t>
      </w:r>
      <w:r w:rsidRPr="00482283">
        <w:rPr>
          <w:szCs w:val="16"/>
        </w:rPr>
        <w:t xml:space="preserve">, </w:t>
      </w:r>
    </w:p>
    <w:p w14:paraId="2F624141" w14:textId="77777777" w:rsidR="00482283" w:rsidRPr="00482283" w:rsidRDefault="00482283" w:rsidP="00C510F0">
      <w:pPr>
        <w:rPr>
          <w:szCs w:val="16"/>
        </w:rPr>
      </w:pPr>
    </w:p>
    <w:p w14:paraId="676E2E4E" w14:textId="77777777" w:rsidR="00482283" w:rsidRPr="00482283" w:rsidRDefault="00482283" w:rsidP="00C510F0">
      <w:pPr>
        <w:rPr>
          <w:szCs w:val="16"/>
        </w:rPr>
      </w:pPr>
      <w:proofErr w:type="gramStart"/>
      <w:r w:rsidRPr="00482283">
        <w:rPr>
          <w:szCs w:val="16"/>
        </w:rPr>
        <w:t>ayant</w:t>
      </w:r>
      <w:proofErr w:type="gramEnd"/>
      <w:r w:rsidRPr="00482283">
        <w:rPr>
          <w:szCs w:val="16"/>
        </w:rPr>
        <w:t xml:space="preserve"> une incidence sur l’exécution du Contrat et pouvant notamment entrainer :</w:t>
      </w:r>
    </w:p>
    <w:p w14:paraId="08F3626C" w14:textId="77777777" w:rsidR="00482283" w:rsidRPr="00482283" w:rsidRDefault="00482283" w:rsidP="00C510F0">
      <w:pPr>
        <w:rPr>
          <w:szCs w:val="16"/>
        </w:rPr>
      </w:pPr>
    </w:p>
    <w:p w14:paraId="7C1374EA" w14:textId="77777777" w:rsidR="00482283" w:rsidRPr="00482283" w:rsidRDefault="00482283" w:rsidP="004251AF">
      <w:pPr>
        <w:numPr>
          <w:ilvl w:val="0"/>
          <w:numId w:val="9"/>
        </w:numPr>
        <w:tabs>
          <w:tab w:val="left" w:pos="2890"/>
        </w:tabs>
        <w:rPr>
          <w:szCs w:val="16"/>
        </w:rPr>
      </w:pPr>
      <w:r w:rsidRPr="00482283">
        <w:rPr>
          <w:szCs w:val="16"/>
        </w:rPr>
        <w:t>La modification des engagements du Fournisseur,</w:t>
      </w:r>
    </w:p>
    <w:p w14:paraId="1179313E" w14:textId="77777777" w:rsidR="00482283" w:rsidRPr="00482283" w:rsidRDefault="00482283" w:rsidP="004251AF">
      <w:pPr>
        <w:numPr>
          <w:ilvl w:val="0"/>
          <w:numId w:val="9"/>
        </w:numPr>
        <w:tabs>
          <w:tab w:val="left" w:pos="2890"/>
        </w:tabs>
        <w:rPr>
          <w:szCs w:val="16"/>
        </w:rPr>
      </w:pPr>
      <w:r w:rsidRPr="00482283">
        <w:rPr>
          <w:szCs w:val="16"/>
        </w:rPr>
        <w:t>La modification de l’équilibre des droits et obligations des Parties tels qu’initialement prévus au Contrat,</w:t>
      </w:r>
    </w:p>
    <w:p w14:paraId="7162D14A" w14:textId="77777777" w:rsidR="00482283" w:rsidRPr="00482283" w:rsidRDefault="00482283" w:rsidP="004251AF">
      <w:pPr>
        <w:numPr>
          <w:ilvl w:val="0"/>
          <w:numId w:val="9"/>
        </w:numPr>
        <w:tabs>
          <w:tab w:val="left" w:pos="2890"/>
        </w:tabs>
        <w:rPr>
          <w:szCs w:val="16"/>
        </w:rPr>
      </w:pPr>
      <w:r w:rsidRPr="00482283">
        <w:rPr>
          <w:szCs w:val="16"/>
        </w:rPr>
        <w:t>La modification de l’équilibre économique du Contrat,</w:t>
      </w:r>
    </w:p>
    <w:p w14:paraId="770405CE" w14:textId="77777777" w:rsidR="00482283" w:rsidRPr="00482283" w:rsidRDefault="00482283" w:rsidP="004251AF">
      <w:pPr>
        <w:numPr>
          <w:ilvl w:val="0"/>
          <w:numId w:val="9"/>
        </w:numPr>
        <w:tabs>
          <w:tab w:val="left" w:pos="2890"/>
        </w:tabs>
        <w:rPr>
          <w:szCs w:val="16"/>
        </w:rPr>
      </w:pPr>
      <w:r w:rsidRPr="00482283">
        <w:rPr>
          <w:szCs w:val="16"/>
        </w:rPr>
        <w:t>L’impossibilité de poursuivre tout ou partie de l’exécution du Contrat.</w:t>
      </w:r>
    </w:p>
    <w:p w14:paraId="705FAED6" w14:textId="77777777" w:rsidR="00482283" w:rsidRPr="00482283" w:rsidRDefault="00482283" w:rsidP="00C510F0">
      <w:pPr>
        <w:rPr>
          <w:szCs w:val="16"/>
        </w:rPr>
      </w:pPr>
    </w:p>
    <w:p w14:paraId="442719DB" w14:textId="78162C2C" w:rsidR="00D97FED" w:rsidRDefault="00482283" w:rsidP="00C510F0">
      <w:pPr>
        <w:tabs>
          <w:tab w:val="left" w:pos="2890"/>
        </w:tabs>
        <w:rPr>
          <w:szCs w:val="16"/>
        </w:rPr>
      </w:pPr>
      <w:r w:rsidRPr="00482283">
        <w:rPr>
          <w:szCs w:val="16"/>
        </w:rPr>
        <w:t>Les Parties reconnaissent que le Contrat devra être renégocié, en tout ou partie, en vue d’y inclure les adaptations rendues nécessaires.</w:t>
      </w:r>
    </w:p>
    <w:p w14:paraId="3CD0DFC4" w14:textId="77777777" w:rsidR="00B12F40" w:rsidRPr="00482283" w:rsidRDefault="00B12F40" w:rsidP="00C510F0">
      <w:pPr>
        <w:tabs>
          <w:tab w:val="left" w:pos="2890"/>
        </w:tabs>
        <w:rPr>
          <w:szCs w:val="16"/>
        </w:rPr>
      </w:pPr>
    </w:p>
    <w:p w14:paraId="05A97B50" w14:textId="77777777" w:rsidR="00482283" w:rsidRDefault="00482283">
      <w:pPr>
        <w:tabs>
          <w:tab w:val="left" w:pos="2890"/>
        </w:tabs>
        <w:rPr>
          <w:szCs w:val="16"/>
        </w:rPr>
      </w:pPr>
    </w:p>
    <w:p w14:paraId="2B17C5CB" w14:textId="77777777" w:rsidR="00CE5237" w:rsidRDefault="00CF1B4D" w:rsidP="00393014">
      <w:pPr>
        <w:pStyle w:val="StyleTitre1"/>
      </w:pPr>
      <w:bookmarkStart w:id="18" w:name="_Toc150262771"/>
      <w:r w:rsidRPr="00F25DA0">
        <w:t>DISPOSITIONS FINANCIERES</w:t>
      </w:r>
      <w:bookmarkEnd w:id="18"/>
    </w:p>
    <w:p w14:paraId="4A0BD16A" w14:textId="77777777" w:rsidR="00CE5237" w:rsidRDefault="006F78E9" w:rsidP="00CE5237">
      <w:pPr>
        <w:pStyle w:val="StyleTitre2"/>
      </w:pPr>
      <w:r>
        <w:t>T</w:t>
      </w:r>
      <w:r w:rsidR="002639B4" w:rsidRPr="002639B4">
        <w:t>arifs</w:t>
      </w:r>
    </w:p>
    <w:p w14:paraId="426DB316" w14:textId="16826F31" w:rsidR="006F78E9" w:rsidRDefault="006F78E9" w:rsidP="006F78E9">
      <w:pPr>
        <w:rPr>
          <w:szCs w:val="16"/>
        </w:rPr>
      </w:pPr>
      <w:r>
        <w:rPr>
          <w:szCs w:val="16"/>
        </w:rPr>
        <w:t xml:space="preserve">Les prix des prestations fournies dans le cadre du Contrat sont précisés dans </w:t>
      </w:r>
      <w:r w:rsidR="000B28B3">
        <w:rPr>
          <w:szCs w:val="16"/>
        </w:rPr>
        <w:t xml:space="preserve">les </w:t>
      </w:r>
      <w:r>
        <w:rPr>
          <w:szCs w:val="16"/>
        </w:rPr>
        <w:t>Annexe</w:t>
      </w:r>
      <w:r w:rsidR="000B28B3">
        <w:rPr>
          <w:szCs w:val="16"/>
        </w:rPr>
        <w:t>s</w:t>
      </w:r>
      <w:r>
        <w:rPr>
          <w:szCs w:val="16"/>
        </w:rPr>
        <w:t xml:space="preserve"> 1</w:t>
      </w:r>
      <w:r w:rsidR="000B28B3">
        <w:rPr>
          <w:szCs w:val="16"/>
        </w:rPr>
        <w:t xml:space="preserve"> et 1.B</w:t>
      </w:r>
      <w:r>
        <w:rPr>
          <w:szCs w:val="16"/>
        </w:rPr>
        <w:t xml:space="preserve"> des présentes.</w:t>
      </w:r>
    </w:p>
    <w:p w14:paraId="057C3C32" w14:textId="77777777" w:rsidR="00E24070" w:rsidRDefault="00E24070" w:rsidP="006F78E9"/>
    <w:p w14:paraId="0A1DFE8B" w14:textId="77777777" w:rsidR="00E24070" w:rsidRDefault="00E24070" w:rsidP="00E24070">
      <w:pPr>
        <w:pStyle w:val="StyleTitre2"/>
      </w:pPr>
      <w:r w:rsidRPr="002639B4">
        <w:t>Evolution tarifaire</w:t>
      </w:r>
    </w:p>
    <w:p w14:paraId="3BBACCB3" w14:textId="542FED2E" w:rsidR="00A43183" w:rsidRPr="00A43183" w:rsidRDefault="00A43183" w:rsidP="00A43183">
      <w:pPr>
        <w:rPr>
          <w:iCs/>
          <w:szCs w:val="16"/>
        </w:rPr>
      </w:pPr>
      <w:r w:rsidRPr="00A43183">
        <w:rPr>
          <w:iCs/>
          <w:szCs w:val="16"/>
        </w:rPr>
        <w:t>Les tarifs de Ligne FTTH Active</w:t>
      </w:r>
      <w:r w:rsidR="000B28B3">
        <w:rPr>
          <w:iCs/>
          <w:szCs w:val="16"/>
        </w:rPr>
        <w:t xml:space="preserve"> </w:t>
      </w:r>
      <w:r w:rsidRPr="00A43183">
        <w:rPr>
          <w:iCs/>
          <w:szCs w:val="16"/>
        </w:rPr>
        <w:t xml:space="preserve">peuvent être amenés à évoluer pendant la durée du </w:t>
      </w:r>
      <w:r w:rsidR="006C741C">
        <w:rPr>
          <w:iCs/>
          <w:szCs w:val="16"/>
        </w:rPr>
        <w:t>Contrat</w:t>
      </w:r>
      <w:r w:rsidR="0080086F">
        <w:rPr>
          <w:iCs/>
          <w:szCs w:val="16"/>
        </w:rPr>
        <w:t xml:space="preserve">. </w:t>
      </w:r>
    </w:p>
    <w:p w14:paraId="084BBD55" w14:textId="77777777" w:rsidR="00A43183" w:rsidRPr="00A43183" w:rsidRDefault="00A43183" w:rsidP="00A43183">
      <w:pPr>
        <w:rPr>
          <w:iCs/>
          <w:szCs w:val="16"/>
        </w:rPr>
      </w:pPr>
    </w:p>
    <w:p w14:paraId="5CAB123C" w14:textId="063666FA" w:rsidR="00F51CCA" w:rsidRDefault="00A43183" w:rsidP="00A43183">
      <w:pPr>
        <w:rPr>
          <w:iCs/>
          <w:szCs w:val="16"/>
        </w:rPr>
      </w:pPr>
      <w:r w:rsidRPr="00A43183">
        <w:rPr>
          <w:iCs/>
          <w:szCs w:val="16"/>
        </w:rPr>
        <w:t xml:space="preserve">Les délais de prévenance de toute modification de tarif sont indiqués à l’article </w:t>
      </w:r>
      <w:r w:rsidRPr="00F93EF9">
        <w:rPr>
          <w:iCs/>
          <w:szCs w:val="16"/>
        </w:rPr>
        <w:t>1</w:t>
      </w:r>
      <w:r w:rsidR="00F93EF9" w:rsidRPr="00F93EF9">
        <w:rPr>
          <w:iCs/>
          <w:szCs w:val="16"/>
        </w:rPr>
        <w:t>4</w:t>
      </w:r>
      <w:r w:rsidR="00BE6D7D" w:rsidRPr="00F93EF9">
        <w:rPr>
          <w:iCs/>
          <w:szCs w:val="16"/>
        </w:rPr>
        <w:t xml:space="preserve"> des présentes</w:t>
      </w:r>
      <w:r w:rsidR="00BE6D7D">
        <w:rPr>
          <w:iCs/>
          <w:szCs w:val="16"/>
        </w:rPr>
        <w:t xml:space="preserve"> </w:t>
      </w:r>
      <w:r w:rsidR="000E2D3E">
        <w:rPr>
          <w:iCs/>
          <w:szCs w:val="16"/>
        </w:rPr>
        <w:t>C</w:t>
      </w:r>
      <w:r w:rsidR="00BE6D7D">
        <w:rPr>
          <w:iCs/>
          <w:szCs w:val="16"/>
        </w:rPr>
        <w:t xml:space="preserve">onditions </w:t>
      </w:r>
      <w:r w:rsidR="000E2D3E">
        <w:rPr>
          <w:iCs/>
          <w:szCs w:val="16"/>
        </w:rPr>
        <w:t>P</w:t>
      </w:r>
      <w:r w:rsidR="002446CF">
        <w:rPr>
          <w:iCs/>
          <w:szCs w:val="16"/>
        </w:rPr>
        <w:t>articulières</w:t>
      </w:r>
      <w:r w:rsidRPr="00A43183">
        <w:rPr>
          <w:iCs/>
          <w:szCs w:val="16"/>
        </w:rPr>
        <w:t>.</w:t>
      </w:r>
    </w:p>
    <w:p w14:paraId="3A05AC60" w14:textId="77777777" w:rsidR="00425C43" w:rsidRDefault="00425C43" w:rsidP="00A43183">
      <w:pPr>
        <w:rPr>
          <w:iCs/>
          <w:szCs w:val="16"/>
        </w:rPr>
      </w:pPr>
    </w:p>
    <w:p w14:paraId="06B29F9E" w14:textId="5006B423" w:rsidR="00425C43" w:rsidRDefault="00425C43" w:rsidP="00A43183">
      <w:r>
        <w:rPr>
          <w:iCs/>
          <w:szCs w:val="16"/>
        </w:rPr>
        <w:t>Toute évolution des tarifs résultant des formules d’indexations décrites en « Annexe 1 – Tarifs Offre FTTH Active »</w:t>
      </w:r>
      <w:r w:rsidR="000B28B3">
        <w:rPr>
          <w:iCs/>
          <w:szCs w:val="16"/>
        </w:rPr>
        <w:t xml:space="preserve"> </w:t>
      </w:r>
      <w:r>
        <w:rPr>
          <w:iCs/>
          <w:szCs w:val="16"/>
        </w:rPr>
        <w:t>li</w:t>
      </w:r>
      <w:r w:rsidR="00275C28">
        <w:rPr>
          <w:iCs/>
          <w:szCs w:val="16"/>
        </w:rPr>
        <w:t>e</w:t>
      </w:r>
      <w:r>
        <w:rPr>
          <w:iCs/>
          <w:szCs w:val="16"/>
        </w:rPr>
        <w:t xml:space="preserve"> les Parties et ne peut en aucun cas justifier une résiliation du Contrat ou des Commandes en cours.</w:t>
      </w:r>
    </w:p>
    <w:p w14:paraId="29E77605" w14:textId="77777777" w:rsidR="00B1757C" w:rsidRPr="004C5454" w:rsidRDefault="00B1757C" w:rsidP="00B1757C">
      <w:pPr>
        <w:rPr>
          <w:iCs/>
          <w:szCs w:val="16"/>
        </w:rPr>
      </w:pPr>
    </w:p>
    <w:p w14:paraId="0A67B2F1" w14:textId="639FAA82" w:rsidR="00F51CCA" w:rsidRDefault="00B1757C" w:rsidP="00A43183">
      <w:pPr>
        <w:rPr>
          <w:iCs/>
          <w:szCs w:val="16"/>
        </w:rPr>
      </w:pPr>
      <w:r w:rsidRPr="00B1757C">
        <w:rPr>
          <w:iCs/>
          <w:szCs w:val="16"/>
        </w:rPr>
        <w:t>En dehors des modifications tarifaires liées</w:t>
      </w:r>
      <w:r w:rsidR="00425C43">
        <w:rPr>
          <w:iCs/>
          <w:szCs w:val="16"/>
        </w:rPr>
        <w:t xml:space="preserve"> à l’indexation prévue au contrat ou</w:t>
      </w:r>
      <w:r w:rsidRPr="00B1757C">
        <w:rPr>
          <w:iCs/>
          <w:szCs w:val="16"/>
        </w:rPr>
        <w:t xml:space="preserve"> à la règlementation, le Fournisseur se réserve la possibilité de modifier ses prix, leurs structures et les modalités de facturation, moyennant le respect d’un préavis </w:t>
      </w:r>
      <w:r w:rsidR="008C2F06">
        <w:rPr>
          <w:iCs/>
          <w:szCs w:val="16"/>
        </w:rPr>
        <w:t>de trois (3) mois pour une hausse tarifaire et d’un (1) mois pour une baisse.</w:t>
      </w:r>
      <w:r w:rsidR="00DC68B8">
        <w:rPr>
          <w:iCs/>
          <w:szCs w:val="16"/>
        </w:rPr>
        <w:t xml:space="preserve"> </w:t>
      </w:r>
    </w:p>
    <w:p w14:paraId="47486E24" w14:textId="77777777" w:rsidR="00B1757C" w:rsidRDefault="00B1757C" w:rsidP="00A43183">
      <w:pPr>
        <w:rPr>
          <w:iCs/>
          <w:szCs w:val="16"/>
        </w:rPr>
      </w:pPr>
    </w:p>
    <w:p w14:paraId="40B62376" w14:textId="77777777" w:rsidR="008C2F06" w:rsidRDefault="00A43183" w:rsidP="00A43183">
      <w:pPr>
        <w:rPr>
          <w:iCs/>
          <w:szCs w:val="16"/>
        </w:rPr>
      </w:pPr>
      <w:r w:rsidRPr="00A43183">
        <w:rPr>
          <w:iCs/>
          <w:szCs w:val="16"/>
        </w:rPr>
        <w:t>Toute évolution des tarifs</w:t>
      </w:r>
      <w:r w:rsidR="008C2F06">
        <w:rPr>
          <w:iCs/>
          <w:szCs w:val="16"/>
        </w:rPr>
        <w:t> :</w:t>
      </w:r>
    </w:p>
    <w:p w14:paraId="267B2B2E" w14:textId="1509F0D5" w:rsidR="008C2F06" w:rsidRDefault="00A43183" w:rsidP="008C2F06">
      <w:pPr>
        <w:pStyle w:val="Paragraphedeliste"/>
        <w:numPr>
          <w:ilvl w:val="0"/>
          <w:numId w:val="8"/>
        </w:numPr>
        <w:rPr>
          <w:iCs/>
          <w:szCs w:val="16"/>
        </w:rPr>
      </w:pPr>
      <w:r w:rsidRPr="008C2F06">
        <w:rPr>
          <w:iCs/>
          <w:szCs w:val="16"/>
        </w:rPr>
        <w:t xml:space="preserve">fera l’objet de la signature d’un </w:t>
      </w:r>
      <w:r w:rsidR="005B13A2">
        <w:rPr>
          <w:iCs/>
          <w:szCs w:val="16"/>
        </w:rPr>
        <w:t xml:space="preserve">nouveau Contrat </w:t>
      </w:r>
      <w:r w:rsidRPr="008C2F06">
        <w:rPr>
          <w:iCs/>
          <w:szCs w:val="16"/>
        </w:rPr>
        <w:t>entre les parties</w:t>
      </w:r>
      <w:r w:rsidR="008C2F06" w:rsidRPr="008C2F06">
        <w:rPr>
          <w:iCs/>
          <w:szCs w:val="16"/>
        </w:rPr>
        <w:t xml:space="preserve">, sauf dérogation tel que décrit à </w:t>
      </w:r>
      <w:r w:rsidR="008C2F06" w:rsidRPr="00F93EF9">
        <w:rPr>
          <w:iCs/>
          <w:szCs w:val="16"/>
        </w:rPr>
        <w:t>l’article 1</w:t>
      </w:r>
      <w:r w:rsidR="00F93EF9" w:rsidRPr="00F93EF9">
        <w:rPr>
          <w:iCs/>
          <w:szCs w:val="16"/>
        </w:rPr>
        <w:t>4</w:t>
      </w:r>
      <w:r w:rsidR="008C2F06" w:rsidRPr="00F93EF9">
        <w:rPr>
          <w:iCs/>
          <w:szCs w:val="16"/>
        </w:rPr>
        <w:t xml:space="preserve"> des présentes</w:t>
      </w:r>
      <w:r w:rsidRPr="008C2F06">
        <w:rPr>
          <w:iCs/>
          <w:szCs w:val="16"/>
        </w:rPr>
        <w:t>.</w:t>
      </w:r>
    </w:p>
    <w:p w14:paraId="5E3437DC" w14:textId="77777777" w:rsidR="008C2F06" w:rsidRPr="00117DAE" w:rsidRDefault="008C2F06" w:rsidP="008C2F06">
      <w:pPr>
        <w:pStyle w:val="Paragraphedeliste"/>
        <w:numPr>
          <w:ilvl w:val="0"/>
          <w:numId w:val="8"/>
        </w:numPr>
        <w:rPr>
          <w:iCs/>
          <w:szCs w:val="16"/>
        </w:rPr>
      </w:pPr>
      <w:r w:rsidRPr="00117DAE">
        <w:rPr>
          <w:iCs/>
          <w:szCs w:val="16"/>
        </w:rPr>
        <w:t>sera applicable par défaut à l’ensemble du parc du Client.</w:t>
      </w:r>
    </w:p>
    <w:p w14:paraId="144FDCF3" w14:textId="77777777" w:rsidR="008C2F06" w:rsidRDefault="008C2F06" w:rsidP="008C2F06">
      <w:pPr>
        <w:rPr>
          <w:iCs/>
          <w:szCs w:val="16"/>
        </w:rPr>
      </w:pPr>
    </w:p>
    <w:p w14:paraId="56DC0A94" w14:textId="3C814744" w:rsidR="00A43183" w:rsidRPr="008C2F06" w:rsidRDefault="00A43183" w:rsidP="008C2F06">
      <w:pPr>
        <w:rPr>
          <w:iCs/>
          <w:szCs w:val="16"/>
        </w:rPr>
      </w:pPr>
      <w:r w:rsidRPr="008C2F06">
        <w:rPr>
          <w:iCs/>
          <w:szCs w:val="16"/>
        </w:rPr>
        <w:t xml:space="preserve">L’absence d’accord entre les Parties ne saurait justifier une résiliation des </w:t>
      </w:r>
      <w:r w:rsidR="00DC68B8">
        <w:rPr>
          <w:iCs/>
          <w:szCs w:val="16"/>
        </w:rPr>
        <w:t>S</w:t>
      </w:r>
      <w:r w:rsidRPr="008C2F06">
        <w:rPr>
          <w:iCs/>
          <w:szCs w:val="16"/>
        </w:rPr>
        <w:t>ervices.</w:t>
      </w:r>
    </w:p>
    <w:p w14:paraId="528EA15D" w14:textId="77777777" w:rsidR="00E24070" w:rsidRDefault="00E24070" w:rsidP="00E24070">
      <w:pPr>
        <w:tabs>
          <w:tab w:val="left" w:pos="2890"/>
        </w:tabs>
        <w:rPr>
          <w:szCs w:val="16"/>
        </w:rPr>
      </w:pPr>
    </w:p>
    <w:p w14:paraId="44D13F35" w14:textId="77777777" w:rsidR="00150235" w:rsidRDefault="00150235" w:rsidP="00150235">
      <w:pPr>
        <w:pStyle w:val="StyleTitre2"/>
      </w:pPr>
      <w:r>
        <w:t>Facturation</w:t>
      </w:r>
    </w:p>
    <w:p w14:paraId="2A72A69A" w14:textId="77777777" w:rsidR="00C31E1D" w:rsidRDefault="0073411F">
      <w:pPr>
        <w:pStyle w:val="Styletitre3"/>
      </w:pPr>
      <w:r w:rsidRPr="0073411F">
        <w:t>Facturation pour l’usage du Service</w:t>
      </w:r>
    </w:p>
    <w:p w14:paraId="0B6E2D54" w14:textId="77777777" w:rsidR="00150235" w:rsidRDefault="00150235" w:rsidP="00150235">
      <w:pPr>
        <w:tabs>
          <w:tab w:val="left" w:pos="2890"/>
        </w:tabs>
      </w:pPr>
      <w:r>
        <w:rPr>
          <w:szCs w:val="16"/>
        </w:rPr>
        <w:t xml:space="preserve">Par dérogation aux dispositions de l'Article 5.2 des Conditions Générales, </w:t>
      </w:r>
      <w:r>
        <w:t>l</w:t>
      </w:r>
      <w:r w:rsidRPr="00150235">
        <w:t xml:space="preserve">a facturation est à terme à échoir </w:t>
      </w:r>
      <w:r w:rsidRPr="00F93EF9">
        <w:t xml:space="preserve">sans </w:t>
      </w:r>
      <w:proofErr w:type="spellStart"/>
      <w:r w:rsidRPr="00F93EF9">
        <w:t>pro-rata</w:t>
      </w:r>
      <w:proofErr w:type="spellEnd"/>
      <w:r w:rsidRPr="00F93EF9">
        <w:t xml:space="preserve"> </w:t>
      </w:r>
      <w:proofErr w:type="spellStart"/>
      <w:r w:rsidRPr="00F93EF9">
        <w:t>temporis</w:t>
      </w:r>
      <w:proofErr w:type="spellEnd"/>
      <w:r w:rsidR="0093785F" w:rsidRPr="00F93EF9">
        <w:t>, étant précisé que le premier mois n’est pas facturé</w:t>
      </w:r>
      <w:r w:rsidRPr="00F93EF9">
        <w:t>.</w:t>
      </w:r>
      <w:r w:rsidR="001A096B">
        <w:t xml:space="preserve"> </w:t>
      </w:r>
    </w:p>
    <w:p w14:paraId="1CCD98A7" w14:textId="77777777" w:rsidR="00951BC2" w:rsidRDefault="00951BC2" w:rsidP="00150235">
      <w:pPr>
        <w:tabs>
          <w:tab w:val="left" w:pos="2890"/>
        </w:tabs>
      </w:pPr>
    </w:p>
    <w:p w14:paraId="16660DCC" w14:textId="33AA2A10" w:rsidR="00951BC2" w:rsidRDefault="00395597" w:rsidP="00951BC2">
      <w:pPr>
        <w:rPr>
          <w:szCs w:val="16"/>
        </w:rPr>
      </w:pPr>
      <w:r>
        <w:rPr>
          <w:szCs w:val="16"/>
        </w:rPr>
        <w:t>Sauf exception prévues au présent Contrat, à</w:t>
      </w:r>
      <w:r w:rsidR="00951BC2" w:rsidRPr="00951BC2">
        <w:rPr>
          <w:szCs w:val="16"/>
        </w:rPr>
        <w:t xml:space="preserve"> compter de sa date de mise en </w:t>
      </w:r>
      <w:r w:rsidR="00EC596B">
        <w:rPr>
          <w:szCs w:val="16"/>
        </w:rPr>
        <w:t>service</w:t>
      </w:r>
      <w:r w:rsidR="00951BC2" w:rsidRPr="00951BC2">
        <w:rPr>
          <w:szCs w:val="16"/>
        </w:rPr>
        <w:t>, un</w:t>
      </w:r>
      <w:r w:rsidR="00951BC2">
        <w:rPr>
          <w:szCs w:val="16"/>
        </w:rPr>
        <w:t>e Ligne FTTH Active</w:t>
      </w:r>
      <w:r w:rsidR="00EC6C58">
        <w:rPr>
          <w:szCs w:val="16"/>
        </w:rPr>
        <w:t xml:space="preserve"> et/ou une option de GTR 10H</w:t>
      </w:r>
      <w:r w:rsidR="00951BC2">
        <w:rPr>
          <w:szCs w:val="16"/>
        </w:rPr>
        <w:t xml:space="preserve"> fait l</w:t>
      </w:r>
      <w:r w:rsidR="00951BC2" w:rsidRPr="00951BC2">
        <w:rPr>
          <w:szCs w:val="16"/>
        </w:rPr>
        <w:t>’objet au minimum de la facturat</w:t>
      </w:r>
      <w:r w:rsidR="00951BC2">
        <w:rPr>
          <w:szCs w:val="16"/>
        </w:rPr>
        <w:t>ion</w:t>
      </w:r>
      <w:r w:rsidR="00EC6C58">
        <w:rPr>
          <w:szCs w:val="16"/>
        </w:rPr>
        <w:t xml:space="preserve"> des frais d’accès au service,</w:t>
      </w:r>
      <w:r w:rsidR="00951BC2">
        <w:rPr>
          <w:szCs w:val="16"/>
        </w:rPr>
        <w:t xml:space="preserve"> des </w:t>
      </w:r>
      <w:r w:rsidR="00852F3A">
        <w:rPr>
          <w:szCs w:val="16"/>
        </w:rPr>
        <w:t xml:space="preserve">éventuels </w:t>
      </w:r>
      <w:r w:rsidR="00951BC2">
        <w:rPr>
          <w:szCs w:val="16"/>
        </w:rPr>
        <w:t>frais de raccordement</w:t>
      </w:r>
      <w:r w:rsidR="00C25141">
        <w:rPr>
          <w:szCs w:val="16"/>
        </w:rPr>
        <w:t>, et de un (1) mois</w:t>
      </w:r>
      <w:r w:rsidR="00951BC2" w:rsidRPr="00951BC2">
        <w:rPr>
          <w:szCs w:val="16"/>
        </w:rPr>
        <w:t xml:space="preserve"> d’abonnement au Service.</w:t>
      </w:r>
    </w:p>
    <w:p w14:paraId="5001784E" w14:textId="77777777" w:rsidR="00770CF7" w:rsidRDefault="00770CF7" w:rsidP="00951BC2">
      <w:pPr>
        <w:rPr>
          <w:szCs w:val="16"/>
        </w:rPr>
      </w:pPr>
    </w:p>
    <w:p w14:paraId="04C8FA94" w14:textId="41D2DECB" w:rsidR="00770CF7" w:rsidRPr="00F25DA0" w:rsidRDefault="00AD5990" w:rsidP="00770CF7">
      <w:pPr>
        <w:pStyle w:val="StyleTitre1"/>
      </w:pPr>
      <w:r>
        <w:t>MAINTENANCE DU CABLAGE FTTH PASSIF</w:t>
      </w:r>
    </w:p>
    <w:p w14:paraId="63711895" w14:textId="24F06074" w:rsidR="00770CF7" w:rsidRDefault="00770CF7" w:rsidP="00951BC2">
      <w:pPr>
        <w:rPr>
          <w:szCs w:val="16"/>
        </w:rPr>
      </w:pPr>
      <w:r>
        <w:rPr>
          <w:szCs w:val="16"/>
        </w:rPr>
        <w:t>Le Fournisseur assure le maintien en condition</w:t>
      </w:r>
      <w:r w:rsidR="00840D5A">
        <w:rPr>
          <w:szCs w:val="16"/>
        </w:rPr>
        <w:t xml:space="preserve"> opérationnelle de la Ligne FTTH depuis le PTO jusqu’à son point de livraison au Client, y compris le brassage au PM et le Raccordement </w:t>
      </w:r>
      <w:r w:rsidR="00832BC2">
        <w:rPr>
          <w:szCs w:val="16"/>
        </w:rPr>
        <w:t>Client Final</w:t>
      </w:r>
      <w:r w:rsidR="00840D5A">
        <w:rPr>
          <w:szCs w:val="16"/>
        </w:rPr>
        <w:t>.</w:t>
      </w:r>
    </w:p>
    <w:p w14:paraId="7CE10386" w14:textId="77777777" w:rsidR="00840D5A" w:rsidRDefault="00840D5A" w:rsidP="00951BC2">
      <w:pPr>
        <w:rPr>
          <w:szCs w:val="16"/>
        </w:rPr>
      </w:pPr>
    </w:p>
    <w:p w14:paraId="5F5120A4" w14:textId="4ABC0F9F" w:rsidR="00840D5A" w:rsidRDefault="00840D5A" w:rsidP="00951BC2">
      <w:pPr>
        <w:rPr>
          <w:szCs w:val="16"/>
        </w:rPr>
      </w:pPr>
      <w:r>
        <w:rPr>
          <w:szCs w:val="16"/>
        </w:rPr>
        <w:t>Le Fournisseur assurera</w:t>
      </w:r>
      <w:r w:rsidR="00832BC2">
        <w:rPr>
          <w:szCs w:val="16"/>
        </w:rPr>
        <w:t xml:space="preserve"> ou fera assurer</w:t>
      </w:r>
      <w:r w:rsidR="008A149A">
        <w:rPr>
          <w:szCs w:val="16"/>
        </w:rPr>
        <w:t xml:space="preserve"> par un tiers</w:t>
      </w:r>
      <w:r>
        <w:rPr>
          <w:szCs w:val="16"/>
        </w:rPr>
        <w:t>, dans le cadre de la maintenance, le maintien de la continuité optique des fibres optiques utilisées par le Client jus</w:t>
      </w:r>
      <w:r w:rsidR="00F93EF9">
        <w:rPr>
          <w:szCs w:val="16"/>
        </w:rPr>
        <w:t>q</w:t>
      </w:r>
      <w:r>
        <w:rPr>
          <w:szCs w:val="16"/>
        </w:rPr>
        <w:t>u’au PTO inclus. La maintenance comprend l’ensemble des opérations ayant pour objet d’assurer l’entretien courant du Câblage FTTH.</w:t>
      </w:r>
    </w:p>
    <w:p w14:paraId="41818582" w14:textId="77777777" w:rsidR="00840D5A" w:rsidRDefault="00840D5A" w:rsidP="00951BC2">
      <w:pPr>
        <w:rPr>
          <w:szCs w:val="16"/>
        </w:rPr>
      </w:pPr>
    </w:p>
    <w:p w14:paraId="642BF764" w14:textId="34B0F7B7" w:rsidR="00951BC2" w:rsidRDefault="00B25796" w:rsidP="00150235">
      <w:pPr>
        <w:tabs>
          <w:tab w:val="left" w:pos="2890"/>
        </w:tabs>
        <w:rPr>
          <w:szCs w:val="16"/>
        </w:rPr>
      </w:pPr>
      <w:r>
        <w:rPr>
          <w:szCs w:val="16"/>
        </w:rPr>
        <w:t xml:space="preserve">En cas de détérioration du Raccordement </w:t>
      </w:r>
      <w:r w:rsidR="009648BA">
        <w:rPr>
          <w:szCs w:val="16"/>
        </w:rPr>
        <w:t xml:space="preserve">Client Final </w:t>
      </w:r>
      <w:r>
        <w:rPr>
          <w:szCs w:val="16"/>
        </w:rPr>
        <w:t>par l’Utilisateur Final ou le Client (hors cas de dégradation classique de l’infrastructure dû à l’usage régulier, couverts par les prestations de maintenance du Câblage FTTH), le Fournisseur facturera au Client une pénalité de « Remise en Etat de la Desserte Interne » dans les conditions tarifaires indiquées à l’Annexe 1.A.</w:t>
      </w:r>
      <w:r w:rsidR="0057094D">
        <w:rPr>
          <w:szCs w:val="16"/>
        </w:rPr>
        <w:t xml:space="preserve"> Dans le cas de </w:t>
      </w:r>
      <w:proofErr w:type="spellStart"/>
      <w:r w:rsidR="0057094D">
        <w:rPr>
          <w:szCs w:val="16"/>
        </w:rPr>
        <w:t>déterioration</w:t>
      </w:r>
      <w:proofErr w:type="spellEnd"/>
      <w:r w:rsidR="0057094D">
        <w:rPr>
          <w:szCs w:val="16"/>
        </w:rPr>
        <w:t xml:space="preserve"> localisée</w:t>
      </w:r>
      <w:r w:rsidR="00E01276">
        <w:rPr>
          <w:szCs w:val="16"/>
        </w:rPr>
        <w:t xml:space="preserve"> sur le PTO uniquement, le Client peut</w:t>
      </w:r>
      <w:r w:rsidR="0057094D">
        <w:rPr>
          <w:szCs w:val="16"/>
        </w:rPr>
        <w:t xml:space="preserve"> </w:t>
      </w:r>
      <w:r w:rsidR="00E01276" w:rsidRPr="00E01276">
        <w:rPr>
          <w:szCs w:val="16"/>
        </w:rPr>
        <w:t>faire la demande auprès du Fournisseur de remplacer le</w:t>
      </w:r>
      <w:r w:rsidR="00E01276">
        <w:rPr>
          <w:szCs w:val="16"/>
        </w:rPr>
        <w:t>dit</w:t>
      </w:r>
      <w:r w:rsidR="00E01276" w:rsidRPr="00E01276">
        <w:rPr>
          <w:szCs w:val="16"/>
        </w:rPr>
        <w:t xml:space="preserve"> PTO. Avant chaque demande, le Client devra s’assurer</w:t>
      </w:r>
      <w:r w:rsidR="00E01276">
        <w:rPr>
          <w:szCs w:val="16"/>
        </w:rPr>
        <w:t xml:space="preserve"> avec le Client Final</w:t>
      </w:r>
      <w:r w:rsidR="00E01276" w:rsidRPr="00E01276">
        <w:rPr>
          <w:szCs w:val="16"/>
        </w:rPr>
        <w:t xml:space="preserve"> que la problématique est localisée uniquement sur l’équipement PTO. Dans ce cas, le Client sera facturé de frais de remplacement de PTO comme indiqué en Annexe 1. Dans le cas où, suite à une demande de remplacement de PTO, le Fournisseur diagnostiquerait une problématique différente de celle de dégradation de PTO, alors la Prestation de remplacement de PTO ne sera pas réalisée et une pénalité de signalisation transmise à tort sera facturée au Client</w:t>
      </w:r>
      <w:r w:rsidR="00E01276">
        <w:rPr>
          <w:szCs w:val="16"/>
        </w:rPr>
        <w:t>.</w:t>
      </w:r>
    </w:p>
    <w:p w14:paraId="126127BC" w14:textId="77777777" w:rsidR="00397306" w:rsidRPr="00150235" w:rsidRDefault="00397306" w:rsidP="00150235">
      <w:pPr>
        <w:tabs>
          <w:tab w:val="left" w:pos="2890"/>
        </w:tabs>
        <w:rPr>
          <w:szCs w:val="16"/>
        </w:rPr>
      </w:pPr>
    </w:p>
    <w:p w14:paraId="05BE9E95" w14:textId="509B895F" w:rsidR="00CF1B4D" w:rsidRPr="00F25DA0" w:rsidRDefault="00AD5990" w:rsidP="00393014">
      <w:pPr>
        <w:pStyle w:val="StyleTitre1"/>
      </w:pPr>
      <w:bookmarkStart w:id="19" w:name="_Toc150262774"/>
      <w:r>
        <w:t>SERVICE APRES-VENTE</w:t>
      </w:r>
      <w:bookmarkEnd w:id="19"/>
    </w:p>
    <w:p w14:paraId="7CD67924" w14:textId="77777777" w:rsidR="00CE5237" w:rsidRDefault="00CF1B4D" w:rsidP="00CE5237">
      <w:pPr>
        <w:pStyle w:val="StyleTitre2"/>
      </w:pPr>
      <w:bookmarkStart w:id="20" w:name="_Toc150262775"/>
      <w:r w:rsidRPr="00090E98">
        <w:t>Accueil des signalisations</w:t>
      </w:r>
      <w:bookmarkEnd w:id="20"/>
    </w:p>
    <w:p w14:paraId="4AF25110" w14:textId="483F9AAE" w:rsidR="00993E36" w:rsidRDefault="00993E36" w:rsidP="00993E36">
      <w:pPr>
        <w:rPr>
          <w:szCs w:val="16"/>
        </w:rPr>
      </w:pPr>
      <w:r>
        <w:rPr>
          <w:szCs w:val="16"/>
        </w:rPr>
        <w:t xml:space="preserve">Le Fournisseur met à disposition du Client une structure d’accueil des signalisations : le </w:t>
      </w:r>
      <w:r w:rsidR="00406DE7">
        <w:rPr>
          <w:szCs w:val="16"/>
        </w:rPr>
        <w:t>« </w:t>
      </w:r>
      <w:r>
        <w:rPr>
          <w:szCs w:val="16"/>
        </w:rPr>
        <w:t>Front Office Opérateurs</w:t>
      </w:r>
      <w:r w:rsidR="00406DE7">
        <w:rPr>
          <w:szCs w:val="16"/>
        </w:rPr>
        <w:t> »</w:t>
      </w:r>
      <w:r>
        <w:rPr>
          <w:szCs w:val="16"/>
        </w:rPr>
        <w:t xml:space="preserve">. Le Client peut signaler à cette structure les dysfonctionnements de </w:t>
      </w:r>
      <w:r w:rsidR="002610F1">
        <w:rPr>
          <w:szCs w:val="16"/>
        </w:rPr>
        <w:t>l</w:t>
      </w:r>
      <w:r>
        <w:rPr>
          <w:szCs w:val="16"/>
        </w:rPr>
        <w:t xml:space="preserve">ignes </w:t>
      </w:r>
      <w:r w:rsidR="004019A2">
        <w:rPr>
          <w:szCs w:val="16"/>
        </w:rPr>
        <w:t>FTTH</w:t>
      </w:r>
      <w:r w:rsidR="002610F1">
        <w:rPr>
          <w:szCs w:val="16"/>
        </w:rPr>
        <w:t xml:space="preserve"> Actives</w:t>
      </w:r>
      <w:r>
        <w:rPr>
          <w:szCs w:val="16"/>
        </w:rPr>
        <w:t xml:space="preserve"> par l’intermédiaire des outils et canaux de communications prévus à cet effet. Le Fournisseur met notamment à disposition du Client une interface d’échange de ticket d’incidents dont les spécifications sont convenues par les Parties.</w:t>
      </w:r>
    </w:p>
    <w:p w14:paraId="4D1CBDBC" w14:textId="77777777" w:rsidR="007173DC" w:rsidRDefault="007173DC" w:rsidP="00993E36">
      <w:pPr>
        <w:rPr>
          <w:szCs w:val="16"/>
        </w:rPr>
      </w:pPr>
    </w:p>
    <w:p w14:paraId="62A7B6DA" w14:textId="77777777" w:rsidR="00993E36" w:rsidRDefault="00993E36" w:rsidP="00993E36">
      <w:pPr>
        <w:rPr>
          <w:szCs w:val="16"/>
        </w:rPr>
      </w:pPr>
      <w:r>
        <w:rPr>
          <w:szCs w:val="16"/>
        </w:rPr>
        <w:t xml:space="preserve">Les modalités d’utilisation du Front Office Opérateurs (coordonnées, horaire d’ouverture, procédure à respecter) seront détaillées au Client par le Fournisseur et feront </w:t>
      </w:r>
      <w:r w:rsidRPr="008254A7">
        <w:rPr>
          <w:szCs w:val="16"/>
        </w:rPr>
        <w:t xml:space="preserve">l’objet d’une documentation </w:t>
      </w:r>
      <w:r w:rsidR="007173DC">
        <w:rPr>
          <w:szCs w:val="16"/>
        </w:rPr>
        <w:t>écrite</w:t>
      </w:r>
      <w:r w:rsidRPr="008254A7">
        <w:rPr>
          <w:szCs w:val="16"/>
        </w:rPr>
        <w:t>.</w:t>
      </w:r>
    </w:p>
    <w:p w14:paraId="571EB611" w14:textId="77777777" w:rsidR="00993E36" w:rsidRDefault="00993E36" w:rsidP="00993E36">
      <w:pPr>
        <w:rPr>
          <w:szCs w:val="16"/>
        </w:rPr>
      </w:pPr>
    </w:p>
    <w:p w14:paraId="503B8118" w14:textId="388A6B38" w:rsidR="00993E36" w:rsidRDefault="00993E36">
      <w:pPr>
        <w:rPr>
          <w:szCs w:val="16"/>
        </w:rPr>
      </w:pPr>
      <w:r>
        <w:rPr>
          <w:szCs w:val="16"/>
        </w:rPr>
        <w:t xml:space="preserve">Le Client est le seul interlocuteur du Fournisseur pour le service après-vente. Il s’engage à ne pas communiquer les coordonnées de la structure d’accueil des signalisations aux </w:t>
      </w:r>
      <w:r w:rsidR="00FC7F8D">
        <w:rPr>
          <w:szCs w:val="16"/>
        </w:rPr>
        <w:t>U</w:t>
      </w:r>
      <w:r w:rsidR="007173DC">
        <w:rPr>
          <w:szCs w:val="16"/>
        </w:rPr>
        <w:t xml:space="preserve">tilisateurs </w:t>
      </w:r>
      <w:r w:rsidR="000F64CF">
        <w:rPr>
          <w:szCs w:val="16"/>
        </w:rPr>
        <w:t>Fina</w:t>
      </w:r>
      <w:r w:rsidR="00E86D1A">
        <w:rPr>
          <w:szCs w:val="16"/>
        </w:rPr>
        <w:t>ux</w:t>
      </w:r>
      <w:r>
        <w:rPr>
          <w:szCs w:val="16"/>
        </w:rPr>
        <w:t xml:space="preserve">. </w:t>
      </w:r>
      <w:r w:rsidR="007173DC">
        <w:rPr>
          <w:szCs w:val="16"/>
        </w:rPr>
        <w:t xml:space="preserve">Le Client </w:t>
      </w:r>
      <w:r>
        <w:rPr>
          <w:szCs w:val="16"/>
        </w:rPr>
        <w:t xml:space="preserve">assure seul et sous sa responsabilité la fourniture et la gestion des prestations qu’il fournit </w:t>
      </w:r>
      <w:r w:rsidR="007173DC">
        <w:rPr>
          <w:szCs w:val="16"/>
        </w:rPr>
        <w:t xml:space="preserve">aux </w:t>
      </w:r>
      <w:r w:rsidR="007173DC">
        <w:rPr>
          <w:szCs w:val="16"/>
        </w:rPr>
        <w:lastRenderedPageBreak/>
        <w:t xml:space="preserve">Utilisateurs </w:t>
      </w:r>
      <w:r w:rsidR="000F64CF">
        <w:rPr>
          <w:szCs w:val="16"/>
        </w:rPr>
        <w:t>Fina</w:t>
      </w:r>
      <w:r w:rsidR="00E86D1A">
        <w:rPr>
          <w:szCs w:val="16"/>
        </w:rPr>
        <w:t>ux</w:t>
      </w:r>
      <w:r>
        <w:rPr>
          <w:szCs w:val="16"/>
        </w:rPr>
        <w:t xml:space="preserve">, pour l’ensemble de leurs aspects matériels et logiciels. Le Fournisseur ne prendra en charge aucune demande émanant directement des </w:t>
      </w:r>
      <w:r w:rsidR="007173DC">
        <w:rPr>
          <w:szCs w:val="16"/>
        </w:rPr>
        <w:t xml:space="preserve">Utilisateurs </w:t>
      </w:r>
      <w:r w:rsidR="000F64CF">
        <w:rPr>
          <w:szCs w:val="16"/>
        </w:rPr>
        <w:t>Fina</w:t>
      </w:r>
      <w:r w:rsidR="00E86D1A">
        <w:rPr>
          <w:szCs w:val="16"/>
        </w:rPr>
        <w:t>ux</w:t>
      </w:r>
      <w:r>
        <w:rPr>
          <w:szCs w:val="16"/>
        </w:rPr>
        <w:t>.</w:t>
      </w:r>
    </w:p>
    <w:p w14:paraId="15D4442C" w14:textId="77777777" w:rsidR="00993E36" w:rsidRDefault="00993E36">
      <w:pPr>
        <w:rPr>
          <w:szCs w:val="16"/>
        </w:rPr>
      </w:pPr>
    </w:p>
    <w:p w14:paraId="0B480648" w14:textId="77777777" w:rsidR="00CE5237" w:rsidRDefault="00CF1B4D" w:rsidP="00CE5237">
      <w:pPr>
        <w:pStyle w:val="StyleTitre2"/>
      </w:pPr>
      <w:bookmarkStart w:id="21" w:name="_Toc150262776"/>
      <w:r w:rsidRPr="00DF3B72">
        <w:t>Signalisation d’un dysfonctionnement</w:t>
      </w:r>
      <w:bookmarkEnd w:id="21"/>
    </w:p>
    <w:p w14:paraId="6525B7C5" w14:textId="4B1DF381" w:rsidR="00993E36" w:rsidRDefault="00993E36" w:rsidP="00993E36">
      <w:pPr>
        <w:rPr>
          <w:szCs w:val="16"/>
        </w:rPr>
      </w:pPr>
      <w:r>
        <w:rPr>
          <w:szCs w:val="16"/>
        </w:rPr>
        <w:t>La signalisation d’un dysfonctionnement d’une Ligne FTTH</w:t>
      </w:r>
      <w:r w:rsidR="00E8783A">
        <w:rPr>
          <w:szCs w:val="16"/>
        </w:rPr>
        <w:t xml:space="preserve"> A</w:t>
      </w:r>
      <w:r w:rsidR="00674C88">
        <w:rPr>
          <w:szCs w:val="16"/>
        </w:rPr>
        <w:t>ctive</w:t>
      </w:r>
      <w:r>
        <w:rPr>
          <w:szCs w:val="16"/>
        </w:rPr>
        <w:t xml:space="preserve"> par le Client à la structure d’accueil des signalisations sera dénommée par la suite « Signalisation ».</w:t>
      </w:r>
    </w:p>
    <w:p w14:paraId="7307E292" w14:textId="77777777" w:rsidR="00993E36" w:rsidRDefault="00993E36" w:rsidP="00993E36">
      <w:pPr>
        <w:rPr>
          <w:szCs w:val="16"/>
        </w:rPr>
      </w:pPr>
    </w:p>
    <w:p w14:paraId="108BEB5C" w14:textId="77777777" w:rsidR="00993E36" w:rsidRDefault="00993E36" w:rsidP="00993E36">
      <w:pPr>
        <w:rPr>
          <w:szCs w:val="16"/>
        </w:rPr>
      </w:pPr>
      <w:r>
        <w:rPr>
          <w:szCs w:val="16"/>
        </w:rPr>
        <w:t xml:space="preserve">Le Client s’engage à effectuer la </w:t>
      </w:r>
      <w:r>
        <w:t xml:space="preserve">Signalisation conformément </w:t>
      </w:r>
      <w:r w:rsidR="003C310D" w:rsidRPr="003C310D">
        <w:t xml:space="preserve">au </w:t>
      </w:r>
      <w:proofErr w:type="spellStart"/>
      <w:r w:rsidR="003C310D" w:rsidRPr="003C310D">
        <w:t>process</w:t>
      </w:r>
      <w:proofErr w:type="spellEnd"/>
      <w:r w:rsidR="003C310D" w:rsidRPr="003C310D">
        <w:t xml:space="preserve"> SAV</w:t>
      </w:r>
      <w:r>
        <w:t xml:space="preserve"> à établir par les Parties</w:t>
      </w:r>
      <w:r>
        <w:rPr>
          <w:szCs w:val="16"/>
        </w:rPr>
        <w:t>.</w:t>
      </w:r>
    </w:p>
    <w:p w14:paraId="62D0E6AF" w14:textId="77777777" w:rsidR="00993E36" w:rsidRDefault="00993E36" w:rsidP="00993E36"/>
    <w:p w14:paraId="032EC59C" w14:textId="46D4B7BF" w:rsidR="00CF1B4D" w:rsidRDefault="00993E36" w:rsidP="008705EF">
      <w:r>
        <w:t xml:space="preserve">Il s’engage notamment à effectuer, avant toute Signalisation, les tests et vérifications préliminaires nécessaires, </w:t>
      </w:r>
      <w:r w:rsidR="001E39AD">
        <w:t xml:space="preserve">et le cas échéant </w:t>
      </w:r>
      <w:r>
        <w:t>grâce au moyen de diagnostic mis à disposition</w:t>
      </w:r>
      <w:r w:rsidR="002D74FE">
        <w:t xml:space="preserve"> par le Fournisseur</w:t>
      </w:r>
      <w:r>
        <w:t>.</w:t>
      </w:r>
    </w:p>
    <w:p w14:paraId="345F92B7" w14:textId="77777777" w:rsidR="00CF1B4D" w:rsidRDefault="00CF1B4D"/>
    <w:p w14:paraId="518C544B" w14:textId="77777777" w:rsidR="00CE5237" w:rsidRDefault="00CF1B4D" w:rsidP="00CE5237">
      <w:pPr>
        <w:pStyle w:val="StyleTitre2"/>
      </w:pPr>
      <w:bookmarkStart w:id="22" w:name="_Toc150262777"/>
      <w:r w:rsidRPr="00DF3B72">
        <w:t>Domaine d’intervention du Fournisseur</w:t>
      </w:r>
      <w:bookmarkEnd w:id="22"/>
    </w:p>
    <w:p w14:paraId="0F8A9B9D" w14:textId="77777777" w:rsidR="00CF1B4D" w:rsidRDefault="00CF1B4D">
      <w:pPr>
        <w:rPr>
          <w:szCs w:val="16"/>
        </w:rPr>
      </w:pPr>
      <w:r>
        <w:rPr>
          <w:szCs w:val="16"/>
        </w:rPr>
        <w:t xml:space="preserve">Le Fournisseur n’assure le pilotage du rétablissement du Service que dans son propre périmètre. </w:t>
      </w:r>
      <w:r w:rsidR="00964C2C">
        <w:rPr>
          <w:szCs w:val="16"/>
        </w:rPr>
        <w:t>Le Client</w:t>
      </w:r>
      <w:r>
        <w:rPr>
          <w:szCs w:val="16"/>
        </w:rPr>
        <w:t xml:space="preserve"> doit donc s’assurer que les dysfonctionnements dans son réseau ou d</w:t>
      </w:r>
      <w:r w:rsidR="00600423">
        <w:rPr>
          <w:szCs w:val="16"/>
        </w:rPr>
        <w:t>e l’E</w:t>
      </w:r>
      <w:r>
        <w:rPr>
          <w:szCs w:val="16"/>
        </w:rPr>
        <w:t xml:space="preserve">quipement </w:t>
      </w:r>
      <w:r w:rsidR="00600423">
        <w:rPr>
          <w:szCs w:val="16"/>
        </w:rPr>
        <w:t>T</w:t>
      </w:r>
      <w:r>
        <w:rPr>
          <w:szCs w:val="16"/>
        </w:rPr>
        <w:t xml:space="preserve">erminal </w:t>
      </w:r>
      <w:r w:rsidR="007173DC">
        <w:rPr>
          <w:szCs w:val="16"/>
        </w:rPr>
        <w:t>de l’</w:t>
      </w:r>
      <w:r w:rsidR="00E6702F">
        <w:rPr>
          <w:szCs w:val="16"/>
        </w:rPr>
        <w:t>Utilisateur Final</w:t>
      </w:r>
      <w:r>
        <w:rPr>
          <w:szCs w:val="16"/>
        </w:rPr>
        <w:t xml:space="preserve"> sont correctement traités par les services après-vente concernés.</w:t>
      </w:r>
    </w:p>
    <w:p w14:paraId="53808BC2" w14:textId="77777777" w:rsidR="00CF1B4D" w:rsidRDefault="00CF1B4D"/>
    <w:p w14:paraId="057E7463" w14:textId="77777777" w:rsidR="00CE5237" w:rsidRDefault="00CF1B4D" w:rsidP="00CE5237">
      <w:pPr>
        <w:pStyle w:val="StyleTitre2"/>
      </w:pPr>
      <w:bookmarkStart w:id="23" w:name="_Toc150262780"/>
      <w:r w:rsidRPr="00DF3B72">
        <w:t>Procédure d’escalade hiérarchique</w:t>
      </w:r>
      <w:bookmarkEnd w:id="23"/>
    </w:p>
    <w:p w14:paraId="5F43A473" w14:textId="77777777" w:rsidR="00993E36" w:rsidRDefault="00993E36" w:rsidP="00993E36">
      <w:pPr>
        <w:rPr>
          <w:szCs w:val="16"/>
        </w:rPr>
      </w:pPr>
      <w:r>
        <w:rPr>
          <w:szCs w:val="16"/>
        </w:rPr>
        <w:t>L’activation de cette procédure peut avoir lieu quand un dysfonctionnement n’est pas rétabli conformément aux engagements de niveau de service.</w:t>
      </w:r>
    </w:p>
    <w:p w14:paraId="4108A93E" w14:textId="77777777" w:rsidR="00993E36" w:rsidRDefault="00993E36" w:rsidP="00993E36">
      <w:pPr>
        <w:rPr>
          <w:szCs w:val="16"/>
        </w:rPr>
      </w:pPr>
    </w:p>
    <w:p w14:paraId="045184B9" w14:textId="77777777" w:rsidR="00993E36" w:rsidRDefault="00993E36">
      <w:pPr>
        <w:rPr>
          <w:szCs w:val="16"/>
        </w:rPr>
      </w:pPr>
      <w:r>
        <w:rPr>
          <w:szCs w:val="16"/>
        </w:rPr>
        <w:t xml:space="preserve">Le Client doit alors respecter la </w:t>
      </w:r>
      <w:r w:rsidR="002644AF">
        <w:rPr>
          <w:szCs w:val="16"/>
        </w:rPr>
        <w:t>M</w:t>
      </w:r>
      <w:r>
        <w:rPr>
          <w:szCs w:val="16"/>
        </w:rPr>
        <w:t>atrice d</w:t>
      </w:r>
      <w:r w:rsidR="002644AF">
        <w:rPr>
          <w:szCs w:val="16"/>
        </w:rPr>
        <w:t>es contacts</w:t>
      </w:r>
      <w:r w:rsidR="00600423">
        <w:rPr>
          <w:szCs w:val="16"/>
        </w:rPr>
        <w:t xml:space="preserve"> </w:t>
      </w:r>
      <w:r>
        <w:rPr>
          <w:szCs w:val="16"/>
        </w:rPr>
        <w:t>ainsi que les procédures associées</w:t>
      </w:r>
      <w:r w:rsidR="00E9334B">
        <w:rPr>
          <w:szCs w:val="16"/>
        </w:rPr>
        <w:t>, qui seront défini</w:t>
      </w:r>
      <w:r w:rsidR="003D4C85">
        <w:rPr>
          <w:szCs w:val="16"/>
        </w:rPr>
        <w:t>e</w:t>
      </w:r>
      <w:r w:rsidR="00E9334B">
        <w:rPr>
          <w:szCs w:val="16"/>
        </w:rPr>
        <w:t>s par les Parties au plus tard au jour de la signature des présentes</w:t>
      </w:r>
      <w:r>
        <w:rPr>
          <w:szCs w:val="16"/>
        </w:rPr>
        <w:t>. Ces éléments seront renseignés dans le</w:t>
      </w:r>
      <w:r>
        <w:t xml:space="preserve"> </w:t>
      </w:r>
      <w:proofErr w:type="spellStart"/>
      <w:r w:rsidR="003C310D" w:rsidRPr="003C310D">
        <w:t>process</w:t>
      </w:r>
      <w:proofErr w:type="spellEnd"/>
      <w:r w:rsidR="003C310D" w:rsidRPr="003C310D">
        <w:t xml:space="preserve"> SAV</w:t>
      </w:r>
      <w:r>
        <w:t xml:space="preserve"> à établir par les Parties</w:t>
      </w:r>
      <w:r>
        <w:rPr>
          <w:szCs w:val="16"/>
        </w:rPr>
        <w:t>.</w:t>
      </w:r>
    </w:p>
    <w:p w14:paraId="465D4E7A" w14:textId="77777777" w:rsidR="00F7528E" w:rsidRDefault="00F7528E" w:rsidP="00F7528E">
      <w:pPr>
        <w:rPr>
          <w:szCs w:val="16"/>
        </w:rPr>
      </w:pPr>
      <w:bookmarkStart w:id="24" w:name="_Toc150262783"/>
    </w:p>
    <w:p w14:paraId="04986AAD" w14:textId="77777777" w:rsidR="00CE5237" w:rsidRDefault="00F7528E" w:rsidP="00CE5237">
      <w:pPr>
        <w:pStyle w:val="StyleTitre2"/>
      </w:pPr>
      <w:bookmarkStart w:id="25" w:name="_Toc150262782"/>
      <w:r w:rsidRPr="00DF3B72">
        <w:t>Signalisation transmise à tort</w:t>
      </w:r>
      <w:bookmarkEnd w:id="25"/>
    </w:p>
    <w:p w14:paraId="664125D8" w14:textId="57138416" w:rsidR="00F7528E" w:rsidRPr="00BE47F7" w:rsidRDefault="00F7528E" w:rsidP="00F7528E">
      <w:pPr>
        <w:rPr>
          <w:szCs w:val="16"/>
        </w:rPr>
      </w:pPr>
      <w:r w:rsidRPr="00BE47F7">
        <w:rPr>
          <w:szCs w:val="16"/>
        </w:rPr>
        <w:t>Une signalisation transmise à tort est une Signalisation transmise par le Client pour laquelle le diagnostic établi et communiqué au Client révèle que la source du dysfonctionnement est ailleurs que dans la Ligne FTTH</w:t>
      </w:r>
      <w:r w:rsidR="00E8783A">
        <w:rPr>
          <w:szCs w:val="16"/>
        </w:rPr>
        <w:t xml:space="preserve"> A</w:t>
      </w:r>
      <w:r w:rsidR="00674C88">
        <w:rPr>
          <w:szCs w:val="16"/>
        </w:rPr>
        <w:t>ctive</w:t>
      </w:r>
      <w:r w:rsidRPr="00BE47F7">
        <w:rPr>
          <w:szCs w:val="16"/>
        </w:rPr>
        <w:t xml:space="preserve"> (par exemple, un problème </w:t>
      </w:r>
      <w:r w:rsidR="00B72600">
        <w:rPr>
          <w:szCs w:val="16"/>
        </w:rPr>
        <w:t>sur</w:t>
      </w:r>
      <w:r w:rsidRPr="00BE47F7">
        <w:rPr>
          <w:szCs w:val="16"/>
        </w:rPr>
        <w:t xml:space="preserve"> l</w:t>
      </w:r>
      <w:r w:rsidR="00B72600">
        <w:rPr>
          <w:szCs w:val="16"/>
        </w:rPr>
        <w:t xml:space="preserve">es </w:t>
      </w:r>
      <w:r w:rsidRPr="00BE47F7">
        <w:rPr>
          <w:szCs w:val="16"/>
        </w:rPr>
        <w:t>installation</w:t>
      </w:r>
      <w:r w:rsidR="00B72600">
        <w:rPr>
          <w:szCs w:val="16"/>
        </w:rPr>
        <w:t>s appartenant à</w:t>
      </w:r>
      <w:r w:rsidR="00820D10">
        <w:rPr>
          <w:szCs w:val="16"/>
        </w:rPr>
        <w:t xml:space="preserve"> l’</w:t>
      </w:r>
      <w:r w:rsidR="00E6702F">
        <w:rPr>
          <w:szCs w:val="16"/>
        </w:rPr>
        <w:t>Utilisateur Final</w:t>
      </w:r>
      <w:r w:rsidRPr="00BE47F7">
        <w:rPr>
          <w:szCs w:val="16"/>
        </w:rPr>
        <w:t xml:space="preserve"> en aval du </w:t>
      </w:r>
      <w:r w:rsidR="00820D10">
        <w:rPr>
          <w:szCs w:val="16"/>
        </w:rPr>
        <w:t>PT</w:t>
      </w:r>
      <w:r w:rsidR="00597407">
        <w:rPr>
          <w:szCs w:val="16"/>
        </w:rPr>
        <w:t>)</w:t>
      </w:r>
      <w:r w:rsidRPr="00BE47F7">
        <w:rPr>
          <w:szCs w:val="16"/>
        </w:rPr>
        <w:t>.</w:t>
      </w:r>
    </w:p>
    <w:p w14:paraId="6C55B5BE" w14:textId="77777777" w:rsidR="00F7528E" w:rsidRPr="00B046EB" w:rsidRDefault="00F7528E" w:rsidP="00B046EB">
      <w:pPr>
        <w:rPr>
          <w:szCs w:val="16"/>
        </w:rPr>
      </w:pPr>
    </w:p>
    <w:p w14:paraId="2F2A37E8" w14:textId="77777777" w:rsidR="00F7528E" w:rsidRDefault="00BE47F7" w:rsidP="00F7528E">
      <w:pPr>
        <w:rPr>
          <w:szCs w:val="16"/>
        </w:rPr>
      </w:pPr>
      <w:r w:rsidRPr="00BE47F7">
        <w:rPr>
          <w:szCs w:val="16"/>
        </w:rPr>
        <w:t xml:space="preserve">Les Parties se rencontreront de façon régulière afin d’analyser les signalisations transmises à tort par le Client. </w:t>
      </w:r>
      <w:r w:rsidR="00F7528E" w:rsidRPr="00BE47F7">
        <w:rPr>
          <w:szCs w:val="16"/>
        </w:rPr>
        <w:t xml:space="preserve">Chaque Signalisation transmise à tort </w:t>
      </w:r>
      <w:r w:rsidRPr="00BE47F7">
        <w:rPr>
          <w:szCs w:val="16"/>
        </w:rPr>
        <w:t xml:space="preserve">pourra faire </w:t>
      </w:r>
      <w:r w:rsidR="00F7528E" w:rsidRPr="00BE47F7">
        <w:rPr>
          <w:szCs w:val="16"/>
        </w:rPr>
        <w:t xml:space="preserve">l’objet </w:t>
      </w:r>
      <w:r>
        <w:rPr>
          <w:szCs w:val="16"/>
        </w:rPr>
        <w:t xml:space="preserve">après analyse par les Parties </w:t>
      </w:r>
      <w:r w:rsidR="00F7528E" w:rsidRPr="00BE47F7">
        <w:rPr>
          <w:szCs w:val="16"/>
        </w:rPr>
        <w:t>d’une pénalité</w:t>
      </w:r>
      <w:r w:rsidR="00356F43">
        <w:rPr>
          <w:szCs w:val="16"/>
        </w:rPr>
        <w:t xml:space="preserve"> </w:t>
      </w:r>
      <w:r w:rsidR="00852F3A">
        <w:rPr>
          <w:szCs w:val="16"/>
        </w:rPr>
        <w:t>libératoire</w:t>
      </w:r>
      <w:r w:rsidR="00F52649">
        <w:rPr>
          <w:szCs w:val="16"/>
        </w:rPr>
        <w:t xml:space="preserve"> </w:t>
      </w:r>
      <w:r w:rsidR="00674C88">
        <w:rPr>
          <w:szCs w:val="16"/>
        </w:rPr>
        <w:t>décrite dans l’annexe 1</w:t>
      </w:r>
      <w:r w:rsidR="002062D7">
        <w:rPr>
          <w:szCs w:val="16"/>
        </w:rPr>
        <w:t>A</w:t>
      </w:r>
      <w:r w:rsidR="00674C88">
        <w:rPr>
          <w:szCs w:val="16"/>
        </w:rPr>
        <w:t xml:space="preserve"> des présentes.</w:t>
      </w:r>
      <w:r w:rsidR="00F7528E" w:rsidRPr="00BE47F7">
        <w:rPr>
          <w:szCs w:val="16"/>
        </w:rPr>
        <w:t xml:space="preserve"> </w:t>
      </w:r>
    </w:p>
    <w:p w14:paraId="01AF78C1" w14:textId="77777777" w:rsidR="00F7528E" w:rsidRDefault="00F7528E" w:rsidP="00F7528E">
      <w:pPr>
        <w:rPr>
          <w:szCs w:val="16"/>
        </w:rPr>
      </w:pPr>
    </w:p>
    <w:p w14:paraId="43B843CD" w14:textId="77777777" w:rsidR="00CE5237" w:rsidRDefault="00CF1B4D" w:rsidP="00CE5237">
      <w:pPr>
        <w:pStyle w:val="StyleTitre2"/>
      </w:pPr>
      <w:r w:rsidRPr="00DF3B72">
        <w:t>Maintenance programmée</w:t>
      </w:r>
      <w:bookmarkEnd w:id="24"/>
    </w:p>
    <w:p w14:paraId="0F0DF874" w14:textId="77777777" w:rsidR="00461D94" w:rsidRPr="00461D94" w:rsidRDefault="00915E5E" w:rsidP="00461D94">
      <w:r w:rsidRPr="00915E5E">
        <w:t>Le Fournisseur pourra être amené à réaliser des opérations de maintenance programmée pour assurer le maintien de la qualité de son Réseau.</w:t>
      </w:r>
    </w:p>
    <w:p w14:paraId="2601309E" w14:textId="77777777" w:rsidR="00461D94" w:rsidRPr="00461D94" w:rsidRDefault="00461D94" w:rsidP="00461D94"/>
    <w:p w14:paraId="16B2D2E6" w14:textId="77777777" w:rsidR="00461D94" w:rsidRPr="00461D94" w:rsidRDefault="00915E5E" w:rsidP="00461D94">
      <w:r w:rsidRPr="00915E5E">
        <w:t>Le Fournisseur s’engage à réaliser les opérations de maintenance programmée de façon à gêner le moins possible le Client, selon les modalités définies ci-après. L’interruption de Service générée par ces opérations de maintenance programmée ne sera pas prise en compte pour la comptabilisation de l’indisponibilité des Services.</w:t>
      </w:r>
    </w:p>
    <w:p w14:paraId="65518F8E" w14:textId="77777777" w:rsidR="00461D94" w:rsidRPr="00461D94" w:rsidRDefault="00461D94" w:rsidP="00461D94"/>
    <w:p w14:paraId="04FD17CD" w14:textId="77777777" w:rsidR="00461D94" w:rsidRPr="00461D94" w:rsidRDefault="00915E5E" w:rsidP="00461D94">
      <w:r w:rsidRPr="00915E5E">
        <w:t xml:space="preserve">La notification de travaux programmés par le Fournisseur devra intervenir au moins sept (7) jours avant la date prévue, sous forme d'un </w:t>
      </w:r>
      <w:proofErr w:type="spellStart"/>
      <w:r w:rsidRPr="00915E5E">
        <w:t>e mail</w:t>
      </w:r>
      <w:proofErr w:type="spellEnd"/>
      <w:r w:rsidRPr="00915E5E">
        <w:t xml:space="preserve"> ou d'un fax contenant les indications suivantes :</w:t>
      </w:r>
    </w:p>
    <w:p w14:paraId="7C86C572" w14:textId="77777777" w:rsidR="00461D94" w:rsidRPr="00461D94" w:rsidRDefault="00915E5E" w:rsidP="00461D94">
      <w:pPr>
        <w:ind w:left="425"/>
      </w:pPr>
      <w:r w:rsidRPr="00915E5E">
        <w:t>-</w:t>
      </w:r>
      <w:r w:rsidRPr="00915E5E">
        <w:tab/>
        <w:t>date et heure prévue de début de perturbation</w:t>
      </w:r>
    </w:p>
    <w:p w14:paraId="5951AC89" w14:textId="77777777" w:rsidR="00461D94" w:rsidRPr="00461D94" w:rsidRDefault="00915E5E" w:rsidP="00461D94">
      <w:pPr>
        <w:ind w:left="425"/>
      </w:pPr>
      <w:r w:rsidRPr="00915E5E">
        <w:t>-</w:t>
      </w:r>
      <w:r w:rsidRPr="00915E5E">
        <w:tab/>
        <w:t>durée prévue</w:t>
      </w:r>
    </w:p>
    <w:p w14:paraId="2D54E301" w14:textId="77777777" w:rsidR="00461D94" w:rsidRPr="00461D94" w:rsidRDefault="00915E5E" w:rsidP="00461D94">
      <w:pPr>
        <w:ind w:left="425"/>
      </w:pPr>
      <w:r w:rsidRPr="00915E5E">
        <w:t>-</w:t>
      </w:r>
      <w:r w:rsidRPr="00915E5E">
        <w:tab/>
        <w:t>impact sur le Service</w:t>
      </w:r>
    </w:p>
    <w:p w14:paraId="2C957209" w14:textId="77777777" w:rsidR="00461D94" w:rsidRPr="00461D94" w:rsidRDefault="00915E5E" w:rsidP="00461D94">
      <w:pPr>
        <w:ind w:left="425"/>
      </w:pPr>
      <w:r w:rsidRPr="00915E5E">
        <w:t>-</w:t>
      </w:r>
      <w:r w:rsidRPr="00915E5E">
        <w:tab/>
        <w:t>motif de la perturbation</w:t>
      </w:r>
    </w:p>
    <w:p w14:paraId="7C44807C" w14:textId="77777777" w:rsidR="00461D94" w:rsidRPr="00461D94" w:rsidRDefault="00915E5E" w:rsidP="00461D94">
      <w:pPr>
        <w:ind w:left="425"/>
      </w:pPr>
      <w:r w:rsidRPr="00915E5E">
        <w:t>-</w:t>
      </w:r>
      <w:r w:rsidRPr="00915E5E">
        <w:tab/>
        <w:t>interlocuteur en charge</w:t>
      </w:r>
    </w:p>
    <w:p w14:paraId="6B01FE3E" w14:textId="77777777" w:rsidR="00461D94" w:rsidRPr="00461D94" w:rsidRDefault="00461D94" w:rsidP="00461D94"/>
    <w:p w14:paraId="468391A0" w14:textId="77777777" w:rsidR="00461D94" w:rsidRPr="00461D94" w:rsidRDefault="00915E5E" w:rsidP="00461D94">
      <w:r w:rsidRPr="00915E5E">
        <w:t xml:space="preserve">Pendant ces périodes de travaux programmés, </w:t>
      </w:r>
      <w:r w:rsidR="007173DC">
        <w:t>l</w:t>
      </w:r>
      <w:r w:rsidRPr="00915E5E">
        <w:t>e Fournisseur s'efforcera de limiter les conséquences des travaux sur le Service.</w:t>
      </w:r>
    </w:p>
    <w:p w14:paraId="40767FC4" w14:textId="77777777" w:rsidR="00461D94" w:rsidRPr="00461D94" w:rsidRDefault="00461D94" w:rsidP="00461D94"/>
    <w:p w14:paraId="1D105779" w14:textId="38E6C934" w:rsidR="00461D94" w:rsidRDefault="00915E5E" w:rsidP="00461D94">
      <w:pPr>
        <w:pStyle w:val="OmniPage1"/>
        <w:tabs>
          <w:tab w:val="right" w:pos="10317"/>
        </w:tabs>
        <w:ind w:right="6"/>
        <w:jc w:val="both"/>
        <w:rPr>
          <w:sz w:val="16"/>
          <w:lang w:val="fr-FR" w:eastAsia="fr-FR"/>
        </w:rPr>
      </w:pPr>
      <w:r w:rsidRPr="00915E5E">
        <w:rPr>
          <w:sz w:val="16"/>
          <w:lang w:val="fr-FR" w:eastAsia="fr-FR"/>
        </w:rPr>
        <w:t xml:space="preserve">La plage de maintenance en heures non ouvrées (HNO) sera chaque jour de </w:t>
      </w:r>
      <w:r w:rsidR="00FE60D2">
        <w:rPr>
          <w:sz w:val="16"/>
          <w:lang w:val="fr-FR" w:eastAsia="fr-FR"/>
        </w:rPr>
        <w:t>00</w:t>
      </w:r>
      <w:r w:rsidRPr="00915E5E">
        <w:rPr>
          <w:sz w:val="16"/>
          <w:lang w:val="fr-FR" w:eastAsia="fr-FR"/>
        </w:rPr>
        <w:t>H00 à 6H00 du lundi soir au vendredi matin.</w:t>
      </w:r>
    </w:p>
    <w:p w14:paraId="47498372" w14:textId="77777777" w:rsidR="008C2F06" w:rsidRDefault="008C2F06" w:rsidP="00461D94">
      <w:pPr>
        <w:pStyle w:val="OmniPage1"/>
        <w:tabs>
          <w:tab w:val="right" w:pos="10317"/>
        </w:tabs>
        <w:ind w:right="6"/>
        <w:jc w:val="both"/>
        <w:rPr>
          <w:sz w:val="16"/>
          <w:lang w:val="fr-FR" w:eastAsia="fr-FR"/>
        </w:rPr>
      </w:pPr>
    </w:p>
    <w:p w14:paraId="6A448F2B" w14:textId="77777777" w:rsidR="008C2F06" w:rsidRPr="00461D94" w:rsidRDefault="008C2F06" w:rsidP="00461D94">
      <w:pPr>
        <w:pStyle w:val="OmniPage1"/>
        <w:tabs>
          <w:tab w:val="right" w:pos="10317"/>
        </w:tabs>
        <w:ind w:right="6"/>
        <w:jc w:val="both"/>
        <w:rPr>
          <w:sz w:val="16"/>
          <w:lang w:val="fr-FR" w:eastAsia="fr-FR"/>
        </w:rPr>
      </w:pPr>
    </w:p>
    <w:p w14:paraId="63354DE5" w14:textId="77777777" w:rsidR="00CF1B4D" w:rsidRPr="000301FE" w:rsidRDefault="00CF1B4D" w:rsidP="00393014">
      <w:pPr>
        <w:pStyle w:val="StyleTitre1"/>
      </w:pPr>
      <w:bookmarkStart w:id="26" w:name="_Ref150157499"/>
      <w:bookmarkStart w:id="27" w:name="_Toc150262784"/>
      <w:r w:rsidRPr="000301FE">
        <w:t>NIVEAU D’ENGAGEMENT DE SERVICE</w:t>
      </w:r>
      <w:bookmarkEnd w:id="26"/>
      <w:bookmarkEnd w:id="27"/>
    </w:p>
    <w:p w14:paraId="0EFA2BE7" w14:textId="77777777" w:rsidR="00CE5237" w:rsidRDefault="00090E98" w:rsidP="00CE5237">
      <w:pPr>
        <w:pStyle w:val="StyleTitre2"/>
      </w:pPr>
      <w:r w:rsidRPr="00090E98">
        <w:t>Engagement du Fournisseur</w:t>
      </w:r>
    </w:p>
    <w:p w14:paraId="2E72EB00" w14:textId="77777777" w:rsidR="00387C7E" w:rsidRDefault="00387C7E">
      <w:r>
        <w:t xml:space="preserve">Les engagements </w:t>
      </w:r>
      <w:r w:rsidR="00CE0227">
        <w:t>du Fournisseur</w:t>
      </w:r>
      <w:r>
        <w:t xml:space="preserve"> vis-à-vis </w:t>
      </w:r>
      <w:r w:rsidR="00964C2C">
        <w:t>du Client</w:t>
      </w:r>
      <w:r>
        <w:t xml:space="preserve"> en matière de disponibilité ainsi que les pénalités en cas de non-respect de ces engagements sont définies ci-après.</w:t>
      </w:r>
    </w:p>
    <w:p w14:paraId="006666FC" w14:textId="77777777" w:rsidR="00243474" w:rsidRDefault="00243474" w:rsidP="008705EF"/>
    <w:p w14:paraId="738988D8" w14:textId="77777777" w:rsidR="00243474" w:rsidRDefault="00243474" w:rsidP="008705EF"/>
    <w:p w14:paraId="7A1B150B" w14:textId="77777777" w:rsidR="008705EF" w:rsidRDefault="008705EF" w:rsidP="00380C2D">
      <w:pPr>
        <w:pStyle w:val="Titre4"/>
        <w:numPr>
          <w:ilvl w:val="0"/>
          <w:numId w:val="7"/>
        </w:numPr>
      </w:pPr>
      <w:r>
        <w:rPr>
          <w:rFonts w:ascii="Times New Roman" w:hAnsi="Times New Roman"/>
        </w:rPr>
        <w:t>Engagements de qualité de service</w:t>
      </w:r>
    </w:p>
    <w:tbl>
      <w:tblPr>
        <w:tblW w:w="43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701"/>
      </w:tblGrid>
      <w:tr w:rsidR="008705EF" w14:paraId="7331DD51" w14:textId="77777777">
        <w:tc>
          <w:tcPr>
            <w:tcW w:w="2694" w:type="dxa"/>
            <w:vAlign w:val="center"/>
          </w:tcPr>
          <w:p w14:paraId="7C0346F8" w14:textId="77777777" w:rsidR="008705EF" w:rsidRDefault="008705EF" w:rsidP="008705EF">
            <w:pPr>
              <w:jc w:val="center"/>
              <w:rPr>
                <w:b/>
              </w:rPr>
            </w:pPr>
            <w:r>
              <w:rPr>
                <w:b/>
              </w:rPr>
              <w:t>Engagement de qualité de service</w:t>
            </w:r>
          </w:p>
        </w:tc>
        <w:tc>
          <w:tcPr>
            <w:tcW w:w="1701" w:type="dxa"/>
            <w:vAlign w:val="center"/>
          </w:tcPr>
          <w:p w14:paraId="24C6A197" w14:textId="77777777" w:rsidR="008705EF" w:rsidRDefault="008705EF" w:rsidP="008705EF">
            <w:pPr>
              <w:jc w:val="center"/>
              <w:rPr>
                <w:b/>
              </w:rPr>
            </w:pPr>
            <w:r>
              <w:rPr>
                <w:b/>
              </w:rPr>
              <w:t>Objectif</w:t>
            </w:r>
          </w:p>
        </w:tc>
      </w:tr>
      <w:tr w:rsidR="008705EF" w14:paraId="16779A72" w14:textId="77777777">
        <w:tc>
          <w:tcPr>
            <w:tcW w:w="2694" w:type="dxa"/>
            <w:vAlign w:val="center"/>
          </w:tcPr>
          <w:p w14:paraId="5B0466DB" w14:textId="77777777" w:rsidR="008705EF" w:rsidRDefault="008705EF" w:rsidP="008705EF">
            <w:pPr>
              <w:jc w:val="center"/>
            </w:pPr>
            <w:r>
              <w:t xml:space="preserve">Disponibilité du Service sur le </w:t>
            </w:r>
            <w:r w:rsidR="00CA158C">
              <w:t>P</w:t>
            </w:r>
            <w:r>
              <w:t>arc</w:t>
            </w:r>
          </w:p>
        </w:tc>
        <w:tc>
          <w:tcPr>
            <w:tcW w:w="1701" w:type="dxa"/>
            <w:vAlign w:val="center"/>
          </w:tcPr>
          <w:p w14:paraId="52EAD844" w14:textId="77777777" w:rsidR="008705EF" w:rsidRDefault="008705EF" w:rsidP="007403A6">
            <w:pPr>
              <w:jc w:val="center"/>
            </w:pPr>
            <w:r>
              <w:t>99.</w:t>
            </w:r>
            <w:r w:rsidR="007403A6">
              <w:t>7</w:t>
            </w:r>
            <w:r>
              <w:t>5%</w:t>
            </w:r>
          </w:p>
        </w:tc>
      </w:tr>
      <w:tr w:rsidR="008705EF" w14:paraId="5D2850FF" w14:textId="77777777">
        <w:trPr>
          <w:trHeight w:val="61"/>
        </w:trPr>
        <w:tc>
          <w:tcPr>
            <w:tcW w:w="2694" w:type="dxa"/>
            <w:vAlign w:val="center"/>
          </w:tcPr>
          <w:p w14:paraId="056CD6EB" w14:textId="77777777" w:rsidR="008705EF" w:rsidRDefault="008705EF" w:rsidP="008705EF">
            <w:pPr>
              <w:jc w:val="center"/>
            </w:pPr>
            <w:r>
              <w:t xml:space="preserve">Temps de Rétablissement du Service en cas de </w:t>
            </w:r>
            <w:r w:rsidR="00E27BF4">
              <w:t>d’</w:t>
            </w:r>
            <w:r w:rsidR="00913E9F">
              <w:t>I</w:t>
            </w:r>
            <w:r w:rsidR="00E27BF4">
              <w:t xml:space="preserve">ncident </w:t>
            </w:r>
            <w:r w:rsidR="00913E9F">
              <w:t>M</w:t>
            </w:r>
            <w:r w:rsidR="00E27BF4">
              <w:t>ajeur</w:t>
            </w:r>
          </w:p>
        </w:tc>
        <w:tc>
          <w:tcPr>
            <w:tcW w:w="1701" w:type="dxa"/>
            <w:vAlign w:val="center"/>
          </w:tcPr>
          <w:p w14:paraId="3B7D9E22" w14:textId="77777777" w:rsidR="008705EF" w:rsidRDefault="008705EF" w:rsidP="008705EF">
            <w:pPr>
              <w:jc w:val="center"/>
            </w:pPr>
            <w:r>
              <w:t xml:space="preserve">4 heures </w:t>
            </w:r>
            <w:r w:rsidR="00262B26">
              <w:t>24/24 7/7</w:t>
            </w:r>
          </w:p>
        </w:tc>
      </w:tr>
    </w:tbl>
    <w:p w14:paraId="6EB82DE3" w14:textId="77777777" w:rsidR="008705EF" w:rsidRDefault="008705EF" w:rsidP="008705EF"/>
    <w:p w14:paraId="2AC542D8" w14:textId="67DE04FC" w:rsidR="008705EF" w:rsidRDefault="008705EF" w:rsidP="008705EF">
      <w:r>
        <w:t>La disponibilité de 99,</w:t>
      </w:r>
      <w:r w:rsidR="007403A6">
        <w:t>7</w:t>
      </w:r>
      <w:r>
        <w:t xml:space="preserve">5% est approximativement équivalente à </w:t>
      </w:r>
      <w:r w:rsidR="007403A6">
        <w:t>22 heures d’indisponibilité en moyenne par an sur l’ensemble du Parc pendant les heures 24/24 7/7.</w:t>
      </w:r>
    </w:p>
    <w:p w14:paraId="6CA2292A" w14:textId="77777777" w:rsidR="00EF70F4" w:rsidRDefault="00EF70F4" w:rsidP="008705EF"/>
    <w:p w14:paraId="24122227" w14:textId="77777777" w:rsidR="008705EF" w:rsidRPr="00600423" w:rsidRDefault="008705EF" w:rsidP="008705EF">
      <w:pPr>
        <w:pStyle w:val="Titre4"/>
        <w:numPr>
          <w:ilvl w:val="0"/>
          <w:numId w:val="7"/>
        </w:numPr>
      </w:pPr>
      <w:r>
        <w:rPr>
          <w:rFonts w:ascii="Times New Roman" w:hAnsi="Times New Roman"/>
        </w:rPr>
        <w:t>Définition des indicateurs d</w:t>
      </w:r>
      <w:r w:rsidR="00600423">
        <w:rPr>
          <w:rFonts w:ascii="Times New Roman" w:hAnsi="Times New Roman"/>
        </w:rPr>
        <w:t xml:space="preserve">e </w:t>
      </w:r>
      <w:r w:rsidR="00600423">
        <w:t>d</w:t>
      </w:r>
      <w:r w:rsidRPr="00600423">
        <w:t>isponibilité du service</w:t>
      </w:r>
    </w:p>
    <w:p w14:paraId="66B4E93D" w14:textId="77777777" w:rsidR="00CC6391" w:rsidRDefault="00CC6391" w:rsidP="00CC6391">
      <w:pPr>
        <w:spacing w:after="60"/>
      </w:pPr>
      <w:r>
        <w:t>Pour une ligne donnée, le Service est réputé disponible si l’Equipement Terminal peut recevoir et envoyer des données selon les spécifications techniques à l’exclusion des points suivants :</w:t>
      </w:r>
    </w:p>
    <w:p w14:paraId="4564B668" w14:textId="77777777" w:rsidR="006842D3" w:rsidRDefault="00CC6391" w:rsidP="004251AF">
      <w:pPr>
        <w:pStyle w:val="Paragraphedeliste"/>
        <w:numPr>
          <w:ilvl w:val="0"/>
          <w:numId w:val="14"/>
        </w:numPr>
        <w:tabs>
          <w:tab w:val="num" w:pos="360"/>
        </w:tabs>
      </w:pPr>
      <w:r>
        <w:t>d’un incident sur un équipement sous la responsabilité du Client ou d</w:t>
      </w:r>
      <w:r w:rsidR="00CA158C">
        <w:t>e l’</w:t>
      </w:r>
      <w:r w:rsidR="00E6702F">
        <w:t>Utilisateur Final</w:t>
      </w:r>
      <w:r>
        <w:t>,</w:t>
      </w:r>
    </w:p>
    <w:p w14:paraId="43B6872D" w14:textId="77777777" w:rsidR="006842D3" w:rsidRDefault="00CC6391" w:rsidP="004251AF">
      <w:pPr>
        <w:pStyle w:val="Paragraphedeliste"/>
        <w:numPr>
          <w:ilvl w:val="0"/>
          <w:numId w:val="14"/>
        </w:numPr>
        <w:tabs>
          <w:tab w:val="num" w:pos="360"/>
        </w:tabs>
      </w:pPr>
      <w:r>
        <w:t>d’un cas de force majeure,</w:t>
      </w:r>
    </w:p>
    <w:p w14:paraId="4C6CA98E" w14:textId="77777777" w:rsidR="006842D3" w:rsidRDefault="00CC6391" w:rsidP="004251AF">
      <w:pPr>
        <w:pStyle w:val="Paragraphedeliste"/>
        <w:numPr>
          <w:ilvl w:val="0"/>
          <w:numId w:val="14"/>
        </w:numPr>
        <w:tabs>
          <w:tab w:val="num" w:pos="360"/>
        </w:tabs>
      </w:pPr>
      <w:r>
        <w:t>des périodes de maintenance programmée.</w:t>
      </w:r>
    </w:p>
    <w:p w14:paraId="7FB18F1D" w14:textId="77777777" w:rsidR="00CC6391" w:rsidRDefault="00CC6391" w:rsidP="008705EF"/>
    <w:p w14:paraId="59CC4644" w14:textId="77777777" w:rsidR="008705EF" w:rsidRDefault="008705EF" w:rsidP="008705EF">
      <w:r>
        <w:t xml:space="preserve">La disponibilité du Service est calculée sur l’ensemble du </w:t>
      </w:r>
      <w:r w:rsidR="00CA158C">
        <w:t>P</w:t>
      </w:r>
      <w:r>
        <w:t xml:space="preserve">arc de lignes souscrites par le Client et sur les heures </w:t>
      </w:r>
      <w:r w:rsidR="005654A6">
        <w:t>24/24 7/7</w:t>
      </w:r>
      <w:r w:rsidR="00746060">
        <w:t xml:space="preserve"> </w:t>
      </w:r>
      <w:r>
        <w:t>sur une base annuelle en utilisant la formule suivante :</w:t>
      </w:r>
    </w:p>
    <w:p w14:paraId="0CB08CED" w14:textId="77777777" w:rsidR="008705EF" w:rsidRDefault="008705EF" w:rsidP="008705EF">
      <w:r>
        <w:object w:dxaOrig="3720" w:dyaOrig="600" w14:anchorId="5EDD1B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9.75pt;height:21.9pt" o:ole="" fillcolor="window">
            <v:imagedata r:id="rId8" o:title=""/>
          </v:shape>
          <o:OLEObject Type="Embed" ProgID="Equation.3" ShapeID="_x0000_i1025" DrawAspect="Content" ObjectID="_1651301129" r:id="rId9"/>
        </w:object>
      </w:r>
    </w:p>
    <w:p w14:paraId="6C1B1AFD" w14:textId="77777777" w:rsidR="008705EF" w:rsidRDefault="008705EF" w:rsidP="008705EF">
      <w:r>
        <w:t>Avec :</w:t>
      </w:r>
    </w:p>
    <w:p w14:paraId="66E75345" w14:textId="77777777" w:rsidR="008705EF" w:rsidRDefault="008705EF" w:rsidP="008705EF"/>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3402"/>
      </w:tblGrid>
      <w:tr w:rsidR="008705EF" w14:paraId="49A92221" w14:textId="77777777">
        <w:tc>
          <w:tcPr>
            <w:tcW w:w="1134" w:type="dxa"/>
            <w:vAlign w:val="center"/>
          </w:tcPr>
          <w:p w14:paraId="5372658B" w14:textId="77777777" w:rsidR="008705EF" w:rsidRDefault="008705EF" w:rsidP="008705EF">
            <w:pPr>
              <w:jc w:val="center"/>
            </w:pPr>
            <w:r>
              <w:t>Disponibilité</w:t>
            </w:r>
          </w:p>
        </w:tc>
        <w:tc>
          <w:tcPr>
            <w:tcW w:w="3402" w:type="dxa"/>
            <w:vAlign w:val="center"/>
          </w:tcPr>
          <w:p w14:paraId="66AE596A" w14:textId="77777777" w:rsidR="008705EF" w:rsidRDefault="008705EF" w:rsidP="008705EF">
            <w:pPr>
              <w:jc w:val="center"/>
            </w:pPr>
            <w:r>
              <w:t>Pourcentage de disponibilité du Service</w:t>
            </w:r>
          </w:p>
        </w:tc>
      </w:tr>
      <w:tr w:rsidR="008705EF" w14:paraId="372947D5" w14:textId="77777777">
        <w:tc>
          <w:tcPr>
            <w:tcW w:w="1134" w:type="dxa"/>
            <w:vAlign w:val="center"/>
          </w:tcPr>
          <w:p w14:paraId="788F3808" w14:textId="77777777" w:rsidR="008705EF" w:rsidRDefault="008705EF" w:rsidP="008705EF">
            <w:pPr>
              <w:jc w:val="center"/>
            </w:pPr>
            <w:proofErr w:type="spellStart"/>
            <w:r>
              <w:t>Dispo_total</w:t>
            </w:r>
            <w:proofErr w:type="spellEnd"/>
          </w:p>
        </w:tc>
        <w:tc>
          <w:tcPr>
            <w:tcW w:w="3402" w:type="dxa"/>
            <w:vAlign w:val="center"/>
          </w:tcPr>
          <w:p w14:paraId="29658843" w14:textId="77777777" w:rsidR="008705EF" w:rsidRDefault="008705EF" w:rsidP="00CF4955">
            <w:pPr>
              <w:jc w:val="center"/>
            </w:pPr>
            <w:r>
              <w:t xml:space="preserve">Somme sur l’ensemble du </w:t>
            </w:r>
            <w:r w:rsidR="00CF4955">
              <w:t xml:space="preserve">Parc </w:t>
            </w:r>
            <w:r>
              <w:t>de lignes souscrites par le Client du nombre total en minutes pendant lequel le Service a été disponible pendant la période de référence</w:t>
            </w:r>
          </w:p>
        </w:tc>
      </w:tr>
      <w:tr w:rsidR="008705EF" w14:paraId="601F7CBD" w14:textId="77777777">
        <w:tc>
          <w:tcPr>
            <w:tcW w:w="1134" w:type="dxa"/>
            <w:vAlign w:val="center"/>
          </w:tcPr>
          <w:p w14:paraId="45B599E2" w14:textId="77777777" w:rsidR="008705EF" w:rsidRDefault="008705EF" w:rsidP="008705EF">
            <w:pPr>
              <w:jc w:val="center"/>
            </w:pPr>
            <w:proofErr w:type="spellStart"/>
            <w:r>
              <w:t>Periode_de_ref</w:t>
            </w:r>
            <w:proofErr w:type="spellEnd"/>
          </w:p>
        </w:tc>
        <w:tc>
          <w:tcPr>
            <w:tcW w:w="3402" w:type="dxa"/>
            <w:vAlign w:val="center"/>
          </w:tcPr>
          <w:p w14:paraId="62DD5555" w14:textId="77777777" w:rsidR="008705EF" w:rsidRDefault="008705EF" w:rsidP="00CF4955">
            <w:pPr>
              <w:jc w:val="center"/>
            </w:pPr>
            <w:r>
              <w:t xml:space="preserve">Somme sur l’ensemble du </w:t>
            </w:r>
            <w:r w:rsidR="00CF4955">
              <w:t xml:space="preserve">Parc </w:t>
            </w:r>
            <w:r>
              <w:t>de lignes souscrites par le Client du nombre total de minutes dans une année calendaire</w:t>
            </w:r>
          </w:p>
        </w:tc>
      </w:tr>
    </w:tbl>
    <w:p w14:paraId="330136DA" w14:textId="77777777" w:rsidR="008705EF" w:rsidRDefault="008705EF" w:rsidP="008705EF"/>
    <w:p w14:paraId="3CDE29E9" w14:textId="77777777" w:rsidR="00B26757" w:rsidRDefault="00B26757" w:rsidP="00B26757">
      <w:pPr>
        <w:pStyle w:val="Normal10"/>
        <w:spacing w:after="60"/>
      </w:pPr>
      <w:r>
        <w:t>En cas d’Incident Majeur :</w:t>
      </w:r>
    </w:p>
    <w:p w14:paraId="31FA945B" w14:textId="77777777" w:rsidR="00B26757" w:rsidRDefault="00B26757" w:rsidP="004251AF">
      <w:pPr>
        <w:pStyle w:val="Normal10"/>
        <w:numPr>
          <w:ilvl w:val="0"/>
          <w:numId w:val="17"/>
        </w:numPr>
        <w:spacing w:after="60"/>
        <w:ind w:left="284" w:firstLine="142"/>
      </w:pPr>
      <w:r>
        <w:t xml:space="preserve"> Le Fournisseur s’engage à rétablir le Service dans un délai maximal de 4 heures pour les incidents rendant le Service indisponible pour l’ensemble de Liens d’Accès d’un NRO.</w:t>
      </w:r>
    </w:p>
    <w:p w14:paraId="751A4730" w14:textId="6037EF19" w:rsidR="00B26757" w:rsidRDefault="00B26757" w:rsidP="004251AF">
      <w:pPr>
        <w:pStyle w:val="Normal10"/>
        <w:numPr>
          <w:ilvl w:val="0"/>
          <w:numId w:val="17"/>
        </w:numPr>
        <w:spacing w:after="60"/>
        <w:ind w:left="284" w:firstLine="142"/>
      </w:pPr>
      <w:r>
        <w:t xml:space="preserve">Le Fournisseur s’engage à rétablir le Service dans un délai maximal de 5 </w:t>
      </w:r>
      <w:r w:rsidR="005D1480">
        <w:t>J</w:t>
      </w:r>
      <w:r>
        <w:t>ours</w:t>
      </w:r>
      <w:r w:rsidR="005D1480">
        <w:t xml:space="preserve"> Ouvrés</w:t>
      </w:r>
      <w:r>
        <w:t xml:space="preserve"> pour les incidents rendant le Service indisponible pour l’ensemble de Liens d’Accès d’un PM ou d’un arbre PON.</w:t>
      </w:r>
    </w:p>
    <w:p w14:paraId="0C29FE5E" w14:textId="77777777" w:rsidR="00B26757" w:rsidRDefault="00B26757" w:rsidP="00B26757">
      <w:pPr>
        <w:pStyle w:val="Normal10"/>
        <w:spacing w:after="60"/>
      </w:pPr>
      <w:r>
        <w:t xml:space="preserve"> L’Indisponibilité du Service est calculée à partir de l’ouverture du ticket d’incident jusqu’au rétablissement du Service.</w:t>
      </w:r>
    </w:p>
    <w:p w14:paraId="124871A4" w14:textId="77777777" w:rsidR="00376AE0" w:rsidRDefault="00376AE0" w:rsidP="00376AE0">
      <w:pPr>
        <w:rPr>
          <w:b/>
        </w:rPr>
      </w:pPr>
    </w:p>
    <w:p w14:paraId="003C6D3C" w14:textId="77777777" w:rsidR="00376AE0" w:rsidRDefault="00376AE0" w:rsidP="00376AE0">
      <w:pPr>
        <w:numPr>
          <w:ilvl w:val="0"/>
          <w:numId w:val="7"/>
        </w:numPr>
        <w:rPr>
          <w:b/>
        </w:rPr>
      </w:pPr>
      <w:r>
        <w:rPr>
          <w:b/>
        </w:rPr>
        <w:t xml:space="preserve">Pénalité en cas de </w:t>
      </w:r>
      <w:proofErr w:type="spellStart"/>
      <w:r>
        <w:rPr>
          <w:b/>
        </w:rPr>
        <w:t>non respect</w:t>
      </w:r>
      <w:proofErr w:type="spellEnd"/>
      <w:r>
        <w:rPr>
          <w:b/>
        </w:rPr>
        <w:t xml:space="preserve"> d</w:t>
      </w:r>
      <w:r w:rsidR="007173DC">
        <w:rPr>
          <w:b/>
        </w:rPr>
        <w:t>e l</w:t>
      </w:r>
      <w:r w:rsidR="00600423">
        <w:rPr>
          <w:b/>
        </w:rPr>
        <w:t xml:space="preserve">’engagement </w:t>
      </w:r>
      <w:r w:rsidR="007173DC">
        <w:rPr>
          <w:b/>
        </w:rPr>
        <w:t xml:space="preserve">du </w:t>
      </w:r>
      <w:r w:rsidR="00600423">
        <w:rPr>
          <w:b/>
        </w:rPr>
        <w:t>Fournisseur</w:t>
      </w:r>
      <w:r w:rsidR="007173DC">
        <w:rPr>
          <w:b/>
        </w:rPr>
        <w:t xml:space="preserve"> en matière de disponibilité</w:t>
      </w:r>
    </w:p>
    <w:p w14:paraId="2937434E" w14:textId="77777777" w:rsidR="005654A6" w:rsidRPr="00EE4196" w:rsidRDefault="005654A6" w:rsidP="005654A6">
      <w:pPr>
        <w:pStyle w:val="OmniPage1"/>
        <w:jc w:val="both"/>
        <w:rPr>
          <w:i/>
          <w:sz w:val="16"/>
          <w:u w:val="single"/>
          <w:lang w:val="fr-FR"/>
        </w:rPr>
      </w:pPr>
      <w:r w:rsidRPr="00EE4196">
        <w:rPr>
          <w:i/>
          <w:sz w:val="16"/>
          <w:u w:val="single"/>
          <w:lang w:val="fr-FR"/>
        </w:rPr>
        <w:t>Au titre d</w:t>
      </w:r>
      <w:r>
        <w:rPr>
          <w:i/>
          <w:sz w:val="16"/>
          <w:u w:val="single"/>
          <w:lang w:val="fr-FR"/>
        </w:rPr>
        <w:t>u Niveau de Disponibilité Parc</w:t>
      </w:r>
      <w:r w:rsidRPr="00EE4196">
        <w:rPr>
          <w:i/>
          <w:sz w:val="16"/>
          <w:u w:val="single"/>
          <w:lang w:val="fr-FR"/>
        </w:rPr>
        <w:t> :</w:t>
      </w:r>
    </w:p>
    <w:p w14:paraId="481DDD21" w14:textId="22BF333C" w:rsidR="00A24B49" w:rsidRDefault="00A24B49" w:rsidP="00A24B49">
      <w:r>
        <w:t xml:space="preserve">Au cas où, pour des raisons imputables </w:t>
      </w:r>
      <w:r w:rsidR="00852F3A">
        <w:t>au</w:t>
      </w:r>
      <w:r>
        <w:t xml:space="preserve"> Fournisseur, la disponibilité du service de Ligne F</w:t>
      </w:r>
      <w:r w:rsidR="009656C1">
        <w:t>T</w:t>
      </w:r>
      <w:r>
        <w:t>TH</w:t>
      </w:r>
      <w:r w:rsidR="00E8783A">
        <w:t xml:space="preserve"> A</w:t>
      </w:r>
      <w:r w:rsidR="00674C88">
        <w:t>ctive</w:t>
      </w:r>
      <w:r>
        <w:t xml:space="preserve"> serait inférieure à celle définie dans </w:t>
      </w:r>
      <w:r w:rsidR="006B7467">
        <w:t>l’objectif</w:t>
      </w:r>
      <w:r>
        <w:t xml:space="preserve">, le Client pourra réclamer au Fournisseur une pénalité qui sera créditée sur les factures à venir du Client et calculée chaque fin </w:t>
      </w:r>
      <w:r w:rsidR="005312CE">
        <w:t xml:space="preserve">d’année calendaire </w:t>
      </w:r>
      <w:r>
        <w:t>comme suit :</w:t>
      </w:r>
    </w:p>
    <w:p w14:paraId="3CB92264" w14:textId="77777777" w:rsidR="002C1A50" w:rsidRDefault="002C1A50" w:rsidP="002C1A50">
      <w:pP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67"/>
        <w:gridCol w:w="1754"/>
      </w:tblGrid>
      <w:tr w:rsidR="002C1A50" w14:paraId="0DC0F872" w14:textId="77777777">
        <w:trPr>
          <w:trHeight w:val="331"/>
        </w:trPr>
        <w:tc>
          <w:tcPr>
            <w:tcW w:w="2567" w:type="dxa"/>
            <w:vAlign w:val="center"/>
          </w:tcPr>
          <w:p w14:paraId="25692348" w14:textId="77777777" w:rsidR="002C1A50" w:rsidRDefault="002C1A50" w:rsidP="009E2E3C">
            <w:pPr>
              <w:spacing w:before="60" w:after="60"/>
              <w:jc w:val="center"/>
              <w:rPr>
                <w:b/>
                <w:bCs/>
              </w:rPr>
            </w:pPr>
            <w:r>
              <w:rPr>
                <w:b/>
                <w:bCs/>
              </w:rPr>
              <w:t>Niveau de Disponibilité Parc</w:t>
            </w:r>
          </w:p>
        </w:tc>
        <w:tc>
          <w:tcPr>
            <w:tcW w:w="1754" w:type="dxa"/>
            <w:vAlign w:val="center"/>
          </w:tcPr>
          <w:p w14:paraId="4D7B4989" w14:textId="77777777" w:rsidR="002C1A50" w:rsidRDefault="002C1A50" w:rsidP="009E2E3C">
            <w:pPr>
              <w:spacing w:before="60" w:after="60"/>
              <w:jc w:val="center"/>
              <w:rPr>
                <w:b/>
                <w:bCs/>
              </w:rPr>
            </w:pPr>
            <w:r>
              <w:rPr>
                <w:b/>
                <w:bCs/>
              </w:rPr>
              <w:t>Pénalité</w:t>
            </w:r>
          </w:p>
        </w:tc>
      </w:tr>
      <w:tr w:rsidR="002C1A50" w14:paraId="42A22CE8" w14:textId="77777777">
        <w:trPr>
          <w:trHeight w:val="265"/>
        </w:trPr>
        <w:tc>
          <w:tcPr>
            <w:tcW w:w="2567" w:type="dxa"/>
            <w:vAlign w:val="center"/>
          </w:tcPr>
          <w:p w14:paraId="3F07E191" w14:textId="77777777" w:rsidR="002C1A50" w:rsidRDefault="005312CE" w:rsidP="009E2E3C">
            <w:pPr>
              <w:spacing w:before="60" w:after="60"/>
            </w:pPr>
            <w:r>
              <w:t>D</w:t>
            </w:r>
            <w:r w:rsidR="002C1A50">
              <w:t>isponibilité strictement inférieure à 99,</w:t>
            </w:r>
            <w:r w:rsidR="00C603DD">
              <w:t>2</w:t>
            </w:r>
            <w:r w:rsidR="002C1A50">
              <w:t>5%</w:t>
            </w:r>
          </w:p>
        </w:tc>
        <w:tc>
          <w:tcPr>
            <w:tcW w:w="1754" w:type="dxa"/>
            <w:vAlign w:val="center"/>
          </w:tcPr>
          <w:p w14:paraId="2C653B56" w14:textId="77777777" w:rsidR="002C1A50" w:rsidRDefault="002C1A50" w:rsidP="00B87839">
            <w:pPr>
              <w:spacing w:before="60" w:after="60"/>
              <w:jc w:val="center"/>
            </w:pPr>
            <w:r>
              <w:t xml:space="preserve">P = </w:t>
            </w:r>
            <w:r w:rsidR="00B87839">
              <w:t>5</w:t>
            </w:r>
            <w:r>
              <w:t xml:space="preserve">% x </w:t>
            </w:r>
            <w:r w:rsidR="00C603DD">
              <w:t>A</w:t>
            </w:r>
          </w:p>
        </w:tc>
      </w:tr>
      <w:tr w:rsidR="002C1A50" w14:paraId="4B5EF23E" w14:textId="77777777">
        <w:trPr>
          <w:trHeight w:val="265"/>
        </w:trPr>
        <w:tc>
          <w:tcPr>
            <w:tcW w:w="2567" w:type="dxa"/>
            <w:vAlign w:val="center"/>
          </w:tcPr>
          <w:p w14:paraId="62A191E0" w14:textId="760E3AAC" w:rsidR="002C1A50" w:rsidRDefault="005312CE" w:rsidP="005D1480">
            <w:pPr>
              <w:spacing w:before="60" w:after="60"/>
            </w:pPr>
            <w:r>
              <w:t>D</w:t>
            </w:r>
            <w:r w:rsidR="002C1A50">
              <w:t>isponibilité comprise entre 99,</w:t>
            </w:r>
            <w:r w:rsidR="00C603DD">
              <w:t>2</w:t>
            </w:r>
            <w:r w:rsidR="002C1A50">
              <w:t xml:space="preserve">5 % et </w:t>
            </w:r>
            <w:r w:rsidR="005D1480">
              <w:t xml:space="preserve"> 99,50%</w:t>
            </w:r>
          </w:p>
        </w:tc>
        <w:tc>
          <w:tcPr>
            <w:tcW w:w="1754" w:type="dxa"/>
            <w:vAlign w:val="center"/>
          </w:tcPr>
          <w:p w14:paraId="6B663728" w14:textId="77777777" w:rsidR="002C1A50" w:rsidRDefault="002C1A50" w:rsidP="00B87839">
            <w:pPr>
              <w:spacing w:before="60" w:after="60"/>
              <w:jc w:val="center"/>
            </w:pPr>
            <w:r>
              <w:t xml:space="preserve">P = </w:t>
            </w:r>
            <w:r w:rsidR="00B87839">
              <w:t>3</w:t>
            </w:r>
            <w:r>
              <w:t xml:space="preserve">% x </w:t>
            </w:r>
            <w:r w:rsidR="00C603DD">
              <w:t>A</w:t>
            </w:r>
          </w:p>
        </w:tc>
      </w:tr>
      <w:tr w:rsidR="002C1A50" w14:paraId="4C8E11E3" w14:textId="77777777">
        <w:trPr>
          <w:trHeight w:val="265"/>
        </w:trPr>
        <w:tc>
          <w:tcPr>
            <w:tcW w:w="2567" w:type="dxa"/>
            <w:vAlign w:val="center"/>
          </w:tcPr>
          <w:p w14:paraId="147FFFFB" w14:textId="7863D48C" w:rsidR="002C1A50" w:rsidRDefault="005312CE" w:rsidP="005D1480">
            <w:pPr>
              <w:spacing w:before="60" w:after="60"/>
            </w:pPr>
            <w:r>
              <w:lastRenderedPageBreak/>
              <w:t>D</w:t>
            </w:r>
            <w:r w:rsidR="002C1A50">
              <w:t xml:space="preserve">isponibilité comprise entre </w:t>
            </w:r>
            <w:r w:rsidR="005D1480">
              <w:t xml:space="preserve"> 99.50%</w:t>
            </w:r>
            <w:r w:rsidR="002C1A50">
              <w:t xml:space="preserve">et </w:t>
            </w:r>
            <w:r w:rsidR="005D1480">
              <w:t xml:space="preserve"> 99,75%</w:t>
            </w:r>
          </w:p>
        </w:tc>
        <w:tc>
          <w:tcPr>
            <w:tcW w:w="1754" w:type="dxa"/>
            <w:vAlign w:val="center"/>
          </w:tcPr>
          <w:p w14:paraId="0D8BF04A" w14:textId="77777777" w:rsidR="002C1A50" w:rsidRDefault="002C1A50" w:rsidP="009E2E3C">
            <w:pPr>
              <w:spacing w:before="60" w:after="60"/>
              <w:jc w:val="center"/>
            </w:pPr>
            <w:r>
              <w:t xml:space="preserve">P = </w:t>
            </w:r>
            <w:r w:rsidR="00C603DD">
              <w:t>1</w:t>
            </w:r>
            <w:r>
              <w:t xml:space="preserve">% x </w:t>
            </w:r>
            <w:r w:rsidR="00C603DD">
              <w:t>A</w:t>
            </w:r>
          </w:p>
        </w:tc>
      </w:tr>
      <w:tr w:rsidR="002C1A50" w14:paraId="75F95F10" w14:textId="77777777">
        <w:trPr>
          <w:trHeight w:val="265"/>
        </w:trPr>
        <w:tc>
          <w:tcPr>
            <w:tcW w:w="2567" w:type="dxa"/>
            <w:vAlign w:val="center"/>
          </w:tcPr>
          <w:p w14:paraId="0151047D" w14:textId="5EEE2595" w:rsidR="002C1A50" w:rsidRDefault="005312CE" w:rsidP="005D1480">
            <w:pPr>
              <w:spacing w:before="60" w:after="60"/>
            </w:pPr>
            <w:r>
              <w:t>D</w:t>
            </w:r>
            <w:r w:rsidR="002C1A50">
              <w:t xml:space="preserve">isponibilité est supérieure ou égale à </w:t>
            </w:r>
            <w:r w:rsidR="005D1480">
              <w:t xml:space="preserve"> 99,75%</w:t>
            </w:r>
          </w:p>
        </w:tc>
        <w:tc>
          <w:tcPr>
            <w:tcW w:w="1754" w:type="dxa"/>
            <w:vAlign w:val="center"/>
          </w:tcPr>
          <w:p w14:paraId="1C25ECC7" w14:textId="77777777" w:rsidR="002C1A50" w:rsidRDefault="002C1A50" w:rsidP="009E2E3C">
            <w:pPr>
              <w:spacing w:before="60" w:after="60"/>
              <w:jc w:val="center"/>
            </w:pPr>
            <w:r>
              <w:t>P = 0</w:t>
            </w:r>
          </w:p>
        </w:tc>
      </w:tr>
    </w:tbl>
    <w:p w14:paraId="7AC0ED2C" w14:textId="77777777" w:rsidR="002C1A50" w:rsidRDefault="002C1A50" w:rsidP="00227DFD">
      <w:r>
        <w:t>Où :</w:t>
      </w:r>
    </w:p>
    <w:p w14:paraId="5657990F" w14:textId="77777777" w:rsidR="002C1A50" w:rsidRDefault="002C1A50" w:rsidP="002C1A50">
      <w:r>
        <w:t>P est la pénalité due pour l’année concernée au titre de l’engagement de disponibilité.</w:t>
      </w:r>
    </w:p>
    <w:p w14:paraId="7997B9D3" w14:textId="77777777" w:rsidR="002C1A50" w:rsidRDefault="00C603DD" w:rsidP="002C1A50">
      <w:r>
        <w:t>A</w:t>
      </w:r>
      <w:r w:rsidR="002C1A50">
        <w:t xml:space="preserve"> est le montant </w:t>
      </w:r>
      <w:r w:rsidR="00227DFD">
        <w:t xml:space="preserve">de </w:t>
      </w:r>
      <w:r w:rsidR="00227DFD" w:rsidRPr="00227DFD">
        <w:t xml:space="preserve">la redevance annuelle pour la composante Collecte du </w:t>
      </w:r>
      <w:r w:rsidR="00674C88">
        <w:t>S</w:t>
      </w:r>
      <w:r w:rsidR="002C1A50">
        <w:t>ervice.</w:t>
      </w:r>
    </w:p>
    <w:p w14:paraId="4CC0CAA3" w14:textId="77777777" w:rsidR="005B0DD7" w:rsidRDefault="005B0DD7" w:rsidP="002C1A50"/>
    <w:p w14:paraId="1B2ABA24" w14:textId="77777777" w:rsidR="005B0DD7" w:rsidRPr="00EE4196" w:rsidRDefault="005B0DD7" w:rsidP="005B0DD7">
      <w:pPr>
        <w:pStyle w:val="OmniPage1"/>
        <w:jc w:val="both"/>
        <w:rPr>
          <w:i/>
          <w:sz w:val="16"/>
          <w:u w:val="single"/>
          <w:lang w:val="fr-FR"/>
        </w:rPr>
      </w:pPr>
      <w:r w:rsidRPr="00EE4196">
        <w:rPr>
          <w:i/>
          <w:sz w:val="16"/>
          <w:u w:val="single"/>
          <w:lang w:val="fr-FR"/>
        </w:rPr>
        <w:t>Au titre de l’interruption de</w:t>
      </w:r>
      <w:r>
        <w:rPr>
          <w:i/>
          <w:sz w:val="16"/>
          <w:u w:val="single"/>
          <w:lang w:val="fr-FR"/>
        </w:rPr>
        <w:t xml:space="preserve"> Service en cas d’Incident Majeur</w:t>
      </w:r>
      <w:r w:rsidRPr="00EE4196">
        <w:rPr>
          <w:i/>
          <w:sz w:val="16"/>
          <w:u w:val="single"/>
          <w:lang w:val="fr-FR"/>
        </w:rPr>
        <w:t> :</w:t>
      </w:r>
    </w:p>
    <w:p w14:paraId="5133B245" w14:textId="77777777" w:rsidR="005B0DD7" w:rsidRDefault="005B0DD7" w:rsidP="005B0DD7">
      <w:r>
        <w:t xml:space="preserve">Au cas où, pour des raisons imputables </w:t>
      </w:r>
      <w:r w:rsidR="00DF398E">
        <w:t xml:space="preserve">au </w:t>
      </w:r>
      <w:r w:rsidRPr="00CE0227">
        <w:t>Fournisseur</w:t>
      </w:r>
      <w:r>
        <w:t xml:space="preserve">, le Temps de Rétablissement du Service suite à un Incident Majeur serait supérieure à la Garantie de Temps de Rétablissement du Service définie </w:t>
      </w:r>
      <w:r w:rsidR="00227DFD">
        <w:t>dans l’objectif</w:t>
      </w:r>
      <w:r>
        <w:t xml:space="preserve">, le Client pourra réclamer au </w:t>
      </w:r>
      <w:r w:rsidRPr="00CE0227">
        <w:t>Fournisseur</w:t>
      </w:r>
      <w:r w:rsidDel="00CE0227">
        <w:t xml:space="preserve"> </w:t>
      </w:r>
      <w:r>
        <w:t xml:space="preserve">une pénalité qui sera créditée sur les factures à venir du Client au titre de la Commande concernée et calculée à chaque période de facturation </w:t>
      </w:r>
      <w:r>
        <w:rPr>
          <w:szCs w:val="16"/>
        </w:rPr>
        <w:t>comme suit :</w:t>
      </w:r>
      <w:r>
        <w:t xml:space="preserve"> </w:t>
      </w:r>
    </w:p>
    <w:p w14:paraId="7D0640DD" w14:textId="77777777" w:rsidR="00B26757" w:rsidRDefault="00B26757" w:rsidP="005B0DD7"/>
    <w:p w14:paraId="73F3533F" w14:textId="5FAFDA5D" w:rsidR="00B26757" w:rsidRPr="00B26757" w:rsidRDefault="00B26757" w:rsidP="00B26757">
      <w:pPr>
        <w:pStyle w:val="Normal10"/>
        <w:rPr>
          <w:u w:val="single"/>
        </w:rPr>
      </w:pPr>
      <w:r w:rsidRPr="00B6369F">
        <w:rPr>
          <w:u w:val="single"/>
        </w:rPr>
        <w:t>Incident rendant le Service indisponible pour l’ensemble de Liens d’Accès d’un NRO :</w:t>
      </w:r>
    </w:p>
    <w:p w14:paraId="474AEDF0" w14:textId="77777777" w:rsidR="005B0DD7" w:rsidRDefault="005B0DD7" w:rsidP="005B0D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0"/>
        <w:gridCol w:w="1531"/>
      </w:tblGrid>
      <w:tr w:rsidR="005B0DD7" w14:paraId="489855A2" w14:textId="77777777" w:rsidTr="006842D3">
        <w:trPr>
          <w:trHeight w:val="331"/>
        </w:trPr>
        <w:tc>
          <w:tcPr>
            <w:tcW w:w="2790" w:type="dxa"/>
            <w:vAlign w:val="center"/>
          </w:tcPr>
          <w:p w14:paraId="2096E71B" w14:textId="77777777" w:rsidR="005B0DD7" w:rsidRDefault="005B0DD7" w:rsidP="00F51C9D">
            <w:pPr>
              <w:spacing w:before="60" w:after="60"/>
              <w:jc w:val="center"/>
              <w:rPr>
                <w:b/>
                <w:bCs/>
              </w:rPr>
            </w:pPr>
            <w:r>
              <w:rPr>
                <w:b/>
                <w:bCs/>
              </w:rPr>
              <w:t xml:space="preserve">Durée de l’interruption de Service </w:t>
            </w:r>
            <w:r w:rsidR="00F51C9D">
              <w:rPr>
                <w:b/>
                <w:bCs/>
              </w:rPr>
              <w:t>en cas d’Incident Majeur</w:t>
            </w:r>
          </w:p>
        </w:tc>
        <w:tc>
          <w:tcPr>
            <w:tcW w:w="1531" w:type="dxa"/>
            <w:vAlign w:val="center"/>
          </w:tcPr>
          <w:p w14:paraId="582CC542" w14:textId="77777777" w:rsidR="005B0DD7" w:rsidRDefault="005B0DD7" w:rsidP="006842D3">
            <w:pPr>
              <w:spacing w:before="60" w:after="60"/>
              <w:jc w:val="center"/>
              <w:rPr>
                <w:b/>
                <w:bCs/>
              </w:rPr>
            </w:pPr>
            <w:r>
              <w:rPr>
                <w:b/>
                <w:bCs/>
              </w:rPr>
              <w:t>Pénalité</w:t>
            </w:r>
          </w:p>
        </w:tc>
      </w:tr>
      <w:tr w:rsidR="005B0DD7" w14:paraId="2D1D9023" w14:textId="77777777" w:rsidTr="006842D3">
        <w:trPr>
          <w:trHeight w:val="265"/>
        </w:trPr>
        <w:tc>
          <w:tcPr>
            <w:tcW w:w="2790" w:type="dxa"/>
            <w:vAlign w:val="center"/>
          </w:tcPr>
          <w:p w14:paraId="171A0DD5" w14:textId="77777777" w:rsidR="005B0DD7" w:rsidRDefault="005B0DD7" w:rsidP="006842D3">
            <w:pPr>
              <w:spacing w:before="60" w:after="60"/>
            </w:pPr>
            <w:r>
              <w:t xml:space="preserve">Inférieure à 4 heures </w:t>
            </w:r>
          </w:p>
        </w:tc>
        <w:tc>
          <w:tcPr>
            <w:tcW w:w="1531" w:type="dxa"/>
            <w:vAlign w:val="center"/>
          </w:tcPr>
          <w:p w14:paraId="5D916005" w14:textId="77777777" w:rsidR="005B0DD7" w:rsidRDefault="005B0DD7" w:rsidP="006842D3">
            <w:pPr>
              <w:spacing w:before="60" w:after="60"/>
              <w:jc w:val="center"/>
            </w:pPr>
            <w:r>
              <w:t>P = 0 €</w:t>
            </w:r>
          </w:p>
        </w:tc>
      </w:tr>
      <w:tr w:rsidR="005B0DD7" w14:paraId="41B1D8B6" w14:textId="77777777" w:rsidTr="006842D3">
        <w:trPr>
          <w:trHeight w:val="265"/>
        </w:trPr>
        <w:tc>
          <w:tcPr>
            <w:tcW w:w="2790" w:type="dxa"/>
            <w:vAlign w:val="center"/>
          </w:tcPr>
          <w:p w14:paraId="622F4CE7" w14:textId="77777777" w:rsidR="005B0DD7" w:rsidRDefault="005B0DD7" w:rsidP="006842D3">
            <w:pPr>
              <w:spacing w:before="60" w:after="60"/>
            </w:pPr>
            <w:r>
              <w:t xml:space="preserve">Comprise entre 4 et 10 heures </w:t>
            </w:r>
          </w:p>
        </w:tc>
        <w:tc>
          <w:tcPr>
            <w:tcW w:w="1531" w:type="dxa"/>
            <w:vAlign w:val="center"/>
          </w:tcPr>
          <w:p w14:paraId="4BA630FB" w14:textId="77777777" w:rsidR="005B0DD7" w:rsidRDefault="005B0DD7" w:rsidP="00DF2C2D">
            <w:pPr>
              <w:spacing w:before="60" w:after="60"/>
              <w:jc w:val="center"/>
            </w:pPr>
            <w:r>
              <w:t xml:space="preserve">P = </w:t>
            </w:r>
            <w:r w:rsidR="00DF2C2D">
              <w:t>10</w:t>
            </w:r>
            <w:r>
              <w:t xml:space="preserve"> % x </w:t>
            </w:r>
            <w:r w:rsidR="00D86B43">
              <w:t>m</w:t>
            </w:r>
          </w:p>
        </w:tc>
      </w:tr>
      <w:tr w:rsidR="005B0DD7" w14:paraId="572597FD" w14:textId="77777777" w:rsidTr="006842D3">
        <w:trPr>
          <w:trHeight w:val="265"/>
        </w:trPr>
        <w:tc>
          <w:tcPr>
            <w:tcW w:w="2790" w:type="dxa"/>
            <w:vAlign w:val="center"/>
          </w:tcPr>
          <w:p w14:paraId="5ED39B8D" w14:textId="77777777" w:rsidR="005B0DD7" w:rsidRDefault="005B0DD7" w:rsidP="006842D3">
            <w:pPr>
              <w:spacing w:before="60" w:after="60"/>
            </w:pPr>
            <w:r>
              <w:t xml:space="preserve">Comprise entre 10 et 20 heures </w:t>
            </w:r>
          </w:p>
        </w:tc>
        <w:tc>
          <w:tcPr>
            <w:tcW w:w="1531" w:type="dxa"/>
            <w:vAlign w:val="center"/>
          </w:tcPr>
          <w:p w14:paraId="77035D77" w14:textId="77777777" w:rsidR="005B0DD7" w:rsidRDefault="005B0DD7" w:rsidP="00DF2C2D">
            <w:pPr>
              <w:spacing w:before="60" w:after="60"/>
              <w:jc w:val="center"/>
            </w:pPr>
            <w:r>
              <w:t xml:space="preserve">P = </w:t>
            </w:r>
            <w:r w:rsidR="00DF2C2D">
              <w:t>2</w:t>
            </w:r>
            <w:r>
              <w:t xml:space="preserve">0 % x </w:t>
            </w:r>
            <w:r w:rsidR="00D86B43">
              <w:t>m</w:t>
            </w:r>
          </w:p>
        </w:tc>
      </w:tr>
      <w:tr w:rsidR="005B0DD7" w14:paraId="09D08439" w14:textId="77777777" w:rsidTr="006842D3">
        <w:trPr>
          <w:trHeight w:val="265"/>
        </w:trPr>
        <w:tc>
          <w:tcPr>
            <w:tcW w:w="2790" w:type="dxa"/>
            <w:vAlign w:val="center"/>
          </w:tcPr>
          <w:p w14:paraId="5844A531" w14:textId="77777777" w:rsidR="005B0DD7" w:rsidRDefault="005B0DD7" w:rsidP="006842D3">
            <w:pPr>
              <w:spacing w:before="60" w:after="60"/>
            </w:pPr>
            <w:r>
              <w:t xml:space="preserve">Supérieure à 20 heures </w:t>
            </w:r>
          </w:p>
        </w:tc>
        <w:tc>
          <w:tcPr>
            <w:tcW w:w="1531" w:type="dxa"/>
            <w:vAlign w:val="center"/>
          </w:tcPr>
          <w:p w14:paraId="5C82324C" w14:textId="77777777" w:rsidR="005B0DD7" w:rsidRDefault="005B0DD7" w:rsidP="00DF2C2D">
            <w:pPr>
              <w:spacing w:before="60" w:after="60"/>
              <w:jc w:val="center"/>
            </w:pPr>
            <w:r>
              <w:t xml:space="preserve">P = </w:t>
            </w:r>
            <w:r w:rsidR="00DF2C2D">
              <w:t>40</w:t>
            </w:r>
            <w:r>
              <w:t xml:space="preserve"> % x </w:t>
            </w:r>
            <w:r w:rsidR="00D86B43">
              <w:t>m</w:t>
            </w:r>
          </w:p>
        </w:tc>
      </w:tr>
    </w:tbl>
    <w:p w14:paraId="1F6D46CA" w14:textId="77777777" w:rsidR="008C014B" w:rsidRDefault="008C014B" w:rsidP="005B0DD7"/>
    <w:p w14:paraId="725266B5" w14:textId="25A425D0" w:rsidR="005B0DD7" w:rsidRDefault="005B0DD7" w:rsidP="005B0DD7">
      <w:r>
        <w:t>Où</w:t>
      </w:r>
      <w:r w:rsidR="00397306">
        <w:t> :</w:t>
      </w:r>
    </w:p>
    <w:p w14:paraId="5E3B1647" w14:textId="49ADC904" w:rsidR="005B0DD7" w:rsidRDefault="00B26757" w:rsidP="005B0DD7">
      <w:r>
        <w:t>« </w:t>
      </w:r>
      <w:r w:rsidR="005B0DD7">
        <w:t>P</w:t>
      </w:r>
      <w:r>
        <w:t> »</w:t>
      </w:r>
      <w:r w:rsidR="005B0DD7">
        <w:t xml:space="preserve"> est la pénalité due pour l’Incident Majeur</w:t>
      </w:r>
      <w:r>
        <w:t xml:space="preserve"> sur NRO</w:t>
      </w:r>
      <w:r w:rsidR="005B0DD7">
        <w:t>.</w:t>
      </w:r>
    </w:p>
    <w:p w14:paraId="1BD28A9F" w14:textId="3CDB71E9" w:rsidR="005B0DD7" w:rsidRDefault="00B26757" w:rsidP="005B0DD7">
      <w:r>
        <w:t>« </w:t>
      </w:r>
      <w:proofErr w:type="gramStart"/>
      <w:r w:rsidR="00D86B43">
        <w:t>m</w:t>
      </w:r>
      <w:proofErr w:type="gramEnd"/>
      <w:r>
        <w:t> »</w:t>
      </w:r>
      <w:r w:rsidR="005B0DD7">
        <w:t xml:space="preserve"> est le montant de la redevance mensuelle pour les Lignes FTTH concernées par l’Incident Majeur</w:t>
      </w:r>
      <w:r>
        <w:t xml:space="preserve"> sur NRO</w:t>
      </w:r>
      <w:r w:rsidR="00B046EB">
        <w:t>.</w:t>
      </w:r>
    </w:p>
    <w:p w14:paraId="49D8E000" w14:textId="77777777" w:rsidR="00B26757" w:rsidRDefault="00B26757" w:rsidP="005B0DD7"/>
    <w:p w14:paraId="0E9EEB53" w14:textId="77777777" w:rsidR="00B26757" w:rsidRDefault="00B26757" w:rsidP="00B26757">
      <w:pPr>
        <w:pStyle w:val="Normal10"/>
        <w:rPr>
          <w:u w:val="single"/>
        </w:rPr>
      </w:pPr>
      <w:r w:rsidRPr="00B6369F">
        <w:rPr>
          <w:u w:val="single"/>
        </w:rPr>
        <w:t xml:space="preserve">Incident rendant le Service indisponible pour l’ensemble de Liens d’Accès d’un </w:t>
      </w:r>
      <w:r>
        <w:rPr>
          <w:u w:val="single"/>
        </w:rPr>
        <w:t>PM ou d’un arbre PON</w:t>
      </w:r>
      <w:r w:rsidRPr="00B6369F">
        <w:rPr>
          <w:u w:val="single"/>
        </w:rPr>
        <w:t> :</w:t>
      </w:r>
    </w:p>
    <w:p w14:paraId="01B6924B" w14:textId="77777777" w:rsidR="00B26757" w:rsidRDefault="00B26757" w:rsidP="00B26757">
      <w:pPr>
        <w:pStyle w:val="Normal10"/>
        <w:rPr>
          <w:u w:val="single"/>
        </w:rPr>
      </w:pPr>
    </w:p>
    <w:tbl>
      <w:tblPr>
        <w:tblW w:w="432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531"/>
      </w:tblGrid>
      <w:tr w:rsidR="00B26757" w14:paraId="5CCC2220" w14:textId="77777777" w:rsidTr="00275C28">
        <w:trPr>
          <w:trHeight w:val="320"/>
        </w:trPr>
        <w:tc>
          <w:tcPr>
            <w:tcW w:w="2790" w:type="dxa"/>
            <w:vAlign w:val="center"/>
          </w:tcPr>
          <w:p w14:paraId="5416F121" w14:textId="77777777" w:rsidR="00B26757" w:rsidRDefault="00B26757" w:rsidP="00275C28">
            <w:pPr>
              <w:pStyle w:val="Normal10"/>
              <w:spacing w:before="60" w:after="60"/>
              <w:jc w:val="center"/>
            </w:pPr>
            <w:r>
              <w:rPr>
                <w:b/>
              </w:rPr>
              <w:t>Durée de l’interruption de Service en cas d’Incident Majeur sur un PM ou un arbre PON</w:t>
            </w:r>
          </w:p>
        </w:tc>
        <w:tc>
          <w:tcPr>
            <w:tcW w:w="1531" w:type="dxa"/>
            <w:vAlign w:val="center"/>
          </w:tcPr>
          <w:p w14:paraId="0F2D6D70" w14:textId="77777777" w:rsidR="00B26757" w:rsidRDefault="00B26757" w:rsidP="00275C28">
            <w:pPr>
              <w:pStyle w:val="Normal10"/>
              <w:spacing w:before="60" w:after="60"/>
              <w:jc w:val="center"/>
            </w:pPr>
            <w:r>
              <w:rPr>
                <w:b/>
              </w:rPr>
              <w:t>Pénalité</w:t>
            </w:r>
          </w:p>
        </w:tc>
      </w:tr>
      <w:tr w:rsidR="00B26757" w14:paraId="3AE2A880" w14:textId="77777777" w:rsidTr="00275C28">
        <w:trPr>
          <w:trHeight w:val="260"/>
        </w:trPr>
        <w:tc>
          <w:tcPr>
            <w:tcW w:w="2790" w:type="dxa"/>
            <w:vAlign w:val="center"/>
          </w:tcPr>
          <w:p w14:paraId="1E46078F" w14:textId="77777777" w:rsidR="00B26757" w:rsidRDefault="00B26757" w:rsidP="00275C28">
            <w:pPr>
              <w:pStyle w:val="Normal10"/>
              <w:spacing w:before="60" w:after="60"/>
            </w:pPr>
            <w:r>
              <w:t xml:space="preserve">Inférieure à 5 jours </w:t>
            </w:r>
          </w:p>
        </w:tc>
        <w:tc>
          <w:tcPr>
            <w:tcW w:w="1531" w:type="dxa"/>
            <w:vAlign w:val="center"/>
          </w:tcPr>
          <w:p w14:paraId="7F9CBBEE" w14:textId="77777777" w:rsidR="00B26757" w:rsidRDefault="00B26757" w:rsidP="00275C28">
            <w:pPr>
              <w:pStyle w:val="Normal10"/>
              <w:spacing w:before="60" w:after="60"/>
              <w:jc w:val="center"/>
            </w:pPr>
            <w:r>
              <w:t>P = 0 €</w:t>
            </w:r>
          </w:p>
        </w:tc>
      </w:tr>
      <w:tr w:rsidR="00B26757" w14:paraId="1F117DF6" w14:textId="77777777" w:rsidTr="00275C28">
        <w:trPr>
          <w:trHeight w:val="260"/>
        </w:trPr>
        <w:tc>
          <w:tcPr>
            <w:tcW w:w="2790" w:type="dxa"/>
            <w:vAlign w:val="center"/>
          </w:tcPr>
          <w:p w14:paraId="246706E6" w14:textId="77777777" w:rsidR="00B26757" w:rsidRDefault="00B26757" w:rsidP="00275C28">
            <w:pPr>
              <w:pStyle w:val="Normal10"/>
              <w:spacing w:before="60" w:after="60"/>
            </w:pPr>
            <w:r>
              <w:t xml:space="preserve">Comprise entre 5 et 10 jours </w:t>
            </w:r>
          </w:p>
        </w:tc>
        <w:tc>
          <w:tcPr>
            <w:tcW w:w="1531" w:type="dxa"/>
            <w:vAlign w:val="center"/>
          </w:tcPr>
          <w:p w14:paraId="1F807B93" w14:textId="7124A0C3" w:rsidR="00B26757" w:rsidRDefault="00B26757" w:rsidP="00275C28">
            <w:pPr>
              <w:pStyle w:val="Normal10"/>
              <w:spacing w:before="60" w:after="60"/>
              <w:jc w:val="center"/>
            </w:pPr>
            <w:r>
              <w:t xml:space="preserve">P = </w:t>
            </w:r>
            <w:r w:rsidR="005D1480">
              <w:t xml:space="preserve"> 30</w:t>
            </w:r>
            <w:r>
              <w:t xml:space="preserve"> % x m</w:t>
            </w:r>
          </w:p>
        </w:tc>
      </w:tr>
      <w:tr w:rsidR="00B26757" w14:paraId="50930B69" w14:textId="77777777" w:rsidTr="00275C28">
        <w:trPr>
          <w:trHeight w:val="260"/>
        </w:trPr>
        <w:tc>
          <w:tcPr>
            <w:tcW w:w="2790" w:type="dxa"/>
            <w:vAlign w:val="center"/>
          </w:tcPr>
          <w:p w14:paraId="7D1A0BBF" w14:textId="77777777" w:rsidR="00B26757" w:rsidRDefault="00B26757" w:rsidP="00275C28">
            <w:pPr>
              <w:pStyle w:val="Normal10"/>
              <w:spacing w:before="60" w:after="60"/>
            </w:pPr>
            <w:r>
              <w:t>Comprise entre 10 et 20 jours</w:t>
            </w:r>
          </w:p>
        </w:tc>
        <w:tc>
          <w:tcPr>
            <w:tcW w:w="1531" w:type="dxa"/>
            <w:vAlign w:val="center"/>
          </w:tcPr>
          <w:p w14:paraId="6B41A63B" w14:textId="25385EAA" w:rsidR="00B26757" w:rsidRDefault="00B26757" w:rsidP="00275C28">
            <w:pPr>
              <w:pStyle w:val="Normal10"/>
              <w:spacing w:before="60" w:after="60"/>
              <w:jc w:val="center"/>
            </w:pPr>
            <w:r>
              <w:t xml:space="preserve">P = </w:t>
            </w:r>
            <w:r w:rsidR="005D1480">
              <w:t xml:space="preserve"> 75</w:t>
            </w:r>
            <w:r>
              <w:t xml:space="preserve"> % x m</w:t>
            </w:r>
          </w:p>
        </w:tc>
      </w:tr>
      <w:tr w:rsidR="00B26757" w14:paraId="73BE12B4" w14:textId="77777777" w:rsidTr="00275C28">
        <w:trPr>
          <w:trHeight w:val="260"/>
        </w:trPr>
        <w:tc>
          <w:tcPr>
            <w:tcW w:w="2790" w:type="dxa"/>
            <w:vAlign w:val="center"/>
          </w:tcPr>
          <w:p w14:paraId="34299D3A" w14:textId="77777777" w:rsidR="00B26757" w:rsidRDefault="00B26757" w:rsidP="00275C28">
            <w:pPr>
              <w:pStyle w:val="Normal10"/>
              <w:spacing w:before="60" w:after="60"/>
            </w:pPr>
            <w:r>
              <w:t>Supérieure à 20 jours</w:t>
            </w:r>
          </w:p>
        </w:tc>
        <w:tc>
          <w:tcPr>
            <w:tcW w:w="1531" w:type="dxa"/>
            <w:vAlign w:val="center"/>
          </w:tcPr>
          <w:p w14:paraId="3B818AFE" w14:textId="7E94631D" w:rsidR="00B26757" w:rsidRDefault="00B26757" w:rsidP="00275C28">
            <w:pPr>
              <w:pStyle w:val="Normal10"/>
              <w:spacing w:before="60" w:after="60"/>
              <w:jc w:val="center"/>
            </w:pPr>
            <w:r>
              <w:t xml:space="preserve">P = </w:t>
            </w:r>
            <w:r w:rsidR="005D1480">
              <w:t xml:space="preserve"> 100</w:t>
            </w:r>
            <w:r>
              <w:t xml:space="preserve"> % x m</w:t>
            </w:r>
          </w:p>
        </w:tc>
      </w:tr>
    </w:tbl>
    <w:p w14:paraId="5DE07AD3" w14:textId="77777777" w:rsidR="00B26757" w:rsidRDefault="00B26757" w:rsidP="00B26757">
      <w:pPr>
        <w:pStyle w:val="Normal10"/>
        <w:rPr>
          <w:u w:val="single"/>
        </w:rPr>
      </w:pPr>
    </w:p>
    <w:p w14:paraId="07D4DF2D" w14:textId="4B05018B" w:rsidR="00B26757" w:rsidRDefault="00B26757" w:rsidP="00B26757">
      <w:pPr>
        <w:pStyle w:val="Normal10"/>
      </w:pPr>
      <w:r>
        <w:t>Où</w:t>
      </w:r>
      <w:r w:rsidR="00397306">
        <w:t> :</w:t>
      </w:r>
    </w:p>
    <w:p w14:paraId="0352B9A1" w14:textId="77777777" w:rsidR="00B26757" w:rsidRDefault="00B26757" w:rsidP="00B26757">
      <w:pPr>
        <w:pStyle w:val="Normal10"/>
      </w:pPr>
      <w:r>
        <w:t>« P » est la pénalité due pour l’Incident Majeur sur PM ou arbre PON.</w:t>
      </w:r>
    </w:p>
    <w:p w14:paraId="17A81807" w14:textId="77777777" w:rsidR="00B26757" w:rsidRDefault="00B26757" w:rsidP="00B26757">
      <w:pPr>
        <w:pStyle w:val="Normal10"/>
      </w:pPr>
      <w:r>
        <w:t>« </w:t>
      </w:r>
      <w:proofErr w:type="gramStart"/>
      <w:r>
        <w:t>m</w:t>
      </w:r>
      <w:proofErr w:type="gramEnd"/>
      <w:r>
        <w:t> » est le montant de la redevance mensuelle pour les Lignes FTTH concernées par l’Incident Majeur sur PM ou arbre PON.</w:t>
      </w:r>
    </w:p>
    <w:p w14:paraId="49296EBB" w14:textId="77777777" w:rsidR="004934C3" w:rsidRDefault="004934C3" w:rsidP="00B26757">
      <w:pPr>
        <w:pStyle w:val="Normal10"/>
      </w:pPr>
    </w:p>
    <w:p w14:paraId="55C8BC01" w14:textId="77777777" w:rsidR="005D1480" w:rsidRDefault="005D1480" w:rsidP="005D1480">
      <w:pPr>
        <w:ind w:left="-5" w:right="28"/>
      </w:pPr>
      <w:r>
        <w:t xml:space="preserve">Il est entendu que les pénalités pour incident rendant le Service indisponible pour l’ensemble de Liens d’Accès d’un NRO ne sont pas cumulatives des pénalités pour incident rendant le Service indisponible pour l’ensemble de Liens d’Accès d’un PM ou d’un arbre PON. Ni inversement, les pénalités pour incident rendant le Service indisponible pour l’ensemble de Liens d’Accès d’un PM ou d’un arbre PON ne sont pas cumulables aux pénalités pour incident rendant le Service indisponible pour l’ensemble de Liens d’Accès d’un NRO. </w:t>
      </w:r>
    </w:p>
    <w:p w14:paraId="73BF1070" w14:textId="77777777" w:rsidR="00815E22" w:rsidRDefault="00815E22" w:rsidP="00B26757">
      <w:pPr>
        <w:pStyle w:val="Normal10"/>
      </w:pPr>
    </w:p>
    <w:p w14:paraId="5589DD7D" w14:textId="1C1D4636" w:rsidR="004934C3" w:rsidRDefault="004934C3" w:rsidP="00FA645C">
      <w:pPr>
        <w:pStyle w:val="Normal10"/>
        <w:rPr>
          <w:i/>
        </w:rPr>
      </w:pPr>
      <w:r w:rsidRPr="004934C3">
        <w:rPr>
          <w:i/>
        </w:rPr>
        <w:t>Au titre de l’interruption de Service en cas d’Incident sur une Ligne</w:t>
      </w:r>
      <w:r w:rsidR="00FA645C">
        <w:rPr>
          <w:i/>
        </w:rPr>
        <w:t xml:space="preserve"> </w:t>
      </w:r>
      <w:r>
        <w:rPr>
          <w:i/>
        </w:rPr>
        <w:t>FTTH Active bénéficiant de l’option GTR 10H</w:t>
      </w:r>
      <w:r w:rsidRPr="004934C3">
        <w:rPr>
          <w:i/>
        </w:rPr>
        <w:t xml:space="preserve"> :</w:t>
      </w:r>
    </w:p>
    <w:p w14:paraId="75734B2F" w14:textId="2A1B4F0C" w:rsidR="004934C3" w:rsidRDefault="004934C3" w:rsidP="004934C3">
      <w:pPr>
        <w:pStyle w:val="Normal10"/>
      </w:pPr>
      <w:r>
        <w:t xml:space="preserve">Au cas où, pour des raisons imputables au Fournisseur, </w:t>
      </w:r>
      <w:r w:rsidR="00FA645C">
        <w:t xml:space="preserve">sur une Ligne FTTH Active bénéficiant de l’option GTR 10H, </w:t>
      </w:r>
      <w:r>
        <w:t>le Temps de Rétablissement du Service suite à un</w:t>
      </w:r>
      <w:r w:rsidR="00FA645C">
        <w:t>e</w:t>
      </w:r>
      <w:r>
        <w:t xml:space="preserve"> </w:t>
      </w:r>
      <w:r w:rsidR="00FA645C">
        <w:t xml:space="preserve">interruption totale du Service sur la Ligne concernée </w:t>
      </w:r>
      <w:r>
        <w:t xml:space="preserve"> serait supérieure à la Gara</w:t>
      </w:r>
      <w:r w:rsidR="00FA645C">
        <w:t>ntie de Temps de Rétablissement du Service définie à l’Article 4.2.2, le Client pourra</w:t>
      </w:r>
      <w:r w:rsidR="001731AE">
        <w:t xml:space="preserve"> réclamer au Fournisseur une pénalité qui sera </w:t>
      </w:r>
      <w:r w:rsidR="001731AE">
        <w:t>créditée sur les factures à venir du Client au titre de la Commande concernée et calculée, à chaque période de facturation comme suit :</w:t>
      </w:r>
    </w:p>
    <w:p w14:paraId="24F379A3" w14:textId="77777777" w:rsidR="001731AE" w:rsidRDefault="001731AE" w:rsidP="004934C3">
      <w:pPr>
        <w:pStyle w:val="Normal10"/>
      </w:pPr>
    </w:p>
    <w:tbl>
      <w:tblPr>
        <w:tblW w:w="4321"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0"/>
        <w:gridCol w:w="1531"/>
      </w:tblGrid>
      <w:tr w:rsidR="001731AE" w14:paraId="6661A82C" w14:textId="77777777" w:rsidTr="00EF5377">
        <w:trPr>
          <w:trHeight w:val="320"/>
        </w:trPr>
        <w:tc>
          <w:tcPr>
            <w:tcW w:w="2790" w:type="dxa"/>
            <w:vAlign w:val="center"/>
          </w:tcPr>
          <w:p w14:paraId="58679891" w14:textId="74B4597F" w:rsidR="001731AE" w:rsidRDefault="001731AE" w:rsidP="001731AE">
            <w:pPr>
              <w:pStyle w:val="Normal10"/>
              <w:spacing w:before="60" w:after="60"/>
              <w:jc w:val="center"/>
            </w:pPr>
            <w:r>
              <w:rPr>
                <w:b/>
              </w:rPr>
              <w:t>Durée de l’interruption de Service en cas d’incident sur une Ligne FTTH Active avec Option GTR 10H</w:t>
            </w:r>
          </w:p>
        </w:tc>
        <w:tc>
          <w:tcPr>
            <w:tcW w:w="1531" w:type="dxa"/>
            <w:vAlign w:val="center"/>
          </w:tcPr>
          <w:p w14:paraId="1954D44F" w14:textId="77777777" w:rsidR="001731AE" w:rsidRDefault="001731AE" w:rsidP="00EF5377">
            <w:pPr>
              <w:pStyle w:val="Normal10"/>
              <w:spacing w:before="60" w:after="60"/>
              <w:jc w:val="center"/>
            </w:pPr>
            <w:r>
              <w:rPr>
                <w:b/>
              </w:rPr>
              <w:t>Pénalité</w:t>
            </w:r>
          </w:p>
        </w:tc>
      </w:tr>
      <w:tr w:rsidR="001731AE" w14:paraId="50AFE0D7" w14:textId="77777777" w:rsidTr="00EF5377">
        <w:trPr>
          <w:trHeight w:val="260"/>
        </w:trPr>
        <w:tc>
          <w:tcPr>
            <w:tcW w:w="2790" w:type="dxa"/>
            <w:vAlign w:val="center"/>
          </w:tcPr>
          <w:p w14:paraId="4B7D9925" w14:textId="1C01D07F" w:rsidR="001731AE" w:rsidRDefault="001731AE" w:rsidP="001731AE">
            <w:pPr>
              <w:pStyle w:val="Normal10"/>
              <w:spacing w:before="60" w:after="60"/>
            </w:pPr>
            <w:r>
              <w:t xml:space="preserve">Inférieure à 10 heures ouvrables </w:t>
            </w:r>
          </w:p>
        </w:tc>
        <w:tc>
          <w:tcPr>
            <w:tcW w:w="1531" w:type="dxa"/>
            <w:vAlign w:val="center"/>
          </w:tcPr>
          <w:p w14:paraId="2C68EF44" w14:textId="77777777" w:rsidR="001731AE" w:rsidRDefault="001731AE" w:rsidP="00EF5377">
            <w:pPr>
              <w:pStyle w:val="Normal10"/>
              <w:spacing w:before="60" w:after="60"/>
              <w:jc w:val="center"/>
            </w:pPr>
            <w:r>
              <w:t>P = 0 €</w:t>
            </w:r>
          </w:p>
        </w:tc>
      </w:tr>
      <w:tr w:rsidR="001731AE" w14:paraId="7D5FF03C" w14:textId="77777777" w:rsidTr="00EF5377">
        <w:trPr>
          <w:trHeight w:val="260"/>
        </w:trPr>
        <w:tc>
          <w:tcPr>
            <w:tcW w:w="2790" w:type="dxa"/>
            <w:vAlign w:val="center"/>
          </w:tcPr>
          <w:p w14:paraId="0651697B" w14:textId="33186D4A" w:rsidR="001731AE" w:rsidRDefault="001731AE" w:rsidP="001731AE">
            <w:pPr>
              <w:pStyle w:val="Normal10"/>
              <w:spacing w:before="60" w:after="60"/>
            </w:pPr>
            <w:r>
              <w:t xml:space="preserve">Comprise entre 10 et 20 heures </w:t>
            </w:r>
          </w:p>
        </w:tc>
        <w:tc>
          <w:tcPr>
            <w:tcW w:w="1531" w:type="dxa"/>
            <w:vAlign w:val="center"/>
          </w:tcPr>
          <w:p w14:paraId="7C485132" w14:textId="245A25E8" w:rsidR="001731AE" w:rsidRDefault="001731AE" w:rsidP="001731AE">
            <w:pPr>
              <w:pStyle w:val="Normal10"/>
              <w:spacing w:before="60" w:after="60"/>
              <w:jc w:val="center"/>
            </w:pPr>
            <w:r>
              <w:t>P = 25 % x m</w:t>
            </w:r>
          </w:p>
        </w:tc>
      </w:tr>
      <w:tr w:rsidR="001731AE" w14:paraId="75CB817C" w14:textId="77777777" w:rsidTr="00EF5377">
        <w:trPr>
          <w:trHeight w:val="260"/>
        </w:trPr>
        <w:tc>
          <w:tcPr>
            <w:tcW w:w="2790" w:type="dxa"/>
            <w:vAlign w:val="center"/>
          </w:tcPr>
          <w:p w14:paraId="64901E6A" w14:textId="4AAB4764" w:rsidR="001731AE" w:rsidRDefault="001731AE" w:rsidP="001731AE">
            <w:pPr>
              <w:pStyle w:val="Normal10"/>
              <w:spacing w:before="60" w:after="60"/>
            </w:pPr>
            <w:r>
              <w:t>Comprise entre 20 et 30 heures</w:t>
            </w:r>
          </w:p>
        </w:tc>
        <w:tc>
          <w:tcPr>
            <w:tcW w:w="1531" w:type="dxa"/>
            <w:vAlign w:val="center"/>
          </w:tcPr>
          <w:p w14:paraId="07EBA2A6" w14:textId="6E0B49FB" w:rsidR="001731AE" w:rsidRDefault="001731AE" w:rsidP="001731AE">
            <w:pPr>
              <w:pStyle w:val="Normal10"/>
              <w:spacing w:before="60" w:after="60"/>
              <w:jc w:val="center"/>
            </w:pPr>
            <w:r>
              <w:t>P = 50 % x m</w:t>
            </w:r>
          </w:p>
        </w:tc>
      </w:tr>
      <w:tr w:rsidR="001731AE" w14:paraId="502BE5B4" w14:textId="77777777" w:rsidTr="00EF5377">
        <w:trPr>
          <w:trHeight w:val="260"/>
        </w:trPr>
        <w:tc>
          <w:tcPr>
            <w:tcW w:w="2790" w:type="dxa"/>
            <w:vAlign w:val="center"/>
          </w:tcPr>
          <w:p w14:paraId="1B336151" w14:textId="0C45E091" w:rsidR="001731AE" w:rsidRDefault="001731AE" w:rsidP="001731AE">
            <w:pPr>
              <w:pStyle w:val="Normal10"/>
              <w:spacing w:before="60" w:after="60"/>
            </w:pPr>
            <w:r>
              <w:t>Supérieure à 30 heures</w:t>
            </w:r>
          </w:p>
        </w:tc>
        <w:tc>
          <w:tcPr>
            <w:tcW w:w="1531" w:type="dxa"/>
            <w:vAlign w:val="center"/>
          </w:tcPr>
          <w:p w14:paraId="1D29303A" w14:textId="319C8C94" w:rsidR="001731AE" w:rsidRDefault="001731AE" w:rsidP="00EF5377">
            <w:pPr>
              <w:pStyle w:val="Normal10"/>
              <w:spacing w:before="60" w:after="60"/>
              <w:jc w:val="center"/>
            </w:pPr>
            <w:r>
              <w:t>P = 100 % x m</w:t>
            </w:r>
          </w:p>
        </w:tc>
      </w:tr>
    </w:tbl>
    <w:p w14:paraId="2B8E274D" w14:textId="77777777" w:rsidR="001731AE" w:rsidRPr="004934C3" w:rsidRDefault="001731AE" w:rsidP="004934C3">
      <w:pPr>
        <w:pStyle w:val="Normal10"/>
      </w:pPr>
    </w:p>
    <w:p w14:paraId="771CADA8" w14:textId="35CC6F16" w:rsidR="00376AE0" w:rsidRDefault="001731AE" w:rsidP="00376AE0">
      <w:r>
        <w:t>Où :</w:t>
      </w:r>
    </w:p>
    <w:p w14:paraId="7ECE7C59" w14:textId="51604386" w:rsidR="001731AE" w:rsidRDefault="001731AE" w:rsidP="00376AE0">
      <w:r>
        <w:t>« P » est la pénalité due pour l’interruption du Service</w:t>
      </w:r>
    </w:p>
    <w:p w14:paraId="2847464A" w14:textId="45DA4AAF" w:rsidR="001731AE" w:rsidRDefault="001731AE" w:rsidP="00376AE0">
      <w:r>
        <w:t>« M » est le montant de la redevance mensuelle pour la Ligne FTTH Active concernée par l’interruption de Service.</w:t>
      </w:r>
    </w:p>
    <w:p w14:paraId="5DC9C4A8" w14:textId="77777777" w:rsidR="001731AE" w:rsidRDefault="001731AE" w:rsidP="00376AE0"/>
    <w:p w14:paraId="223EF334" w14:textId="77777777" w:rsidR="00376AE0" w:rsidRDefault="00376AE0" w:rsidP="00376AE0">
      <w:pPr>
        <w:pStyle w:val="OmniPage1"/>
        <w:jc w:val="both"/>
        <w:rPr>
          <w:sz w:val="16"/>
          <w:lang w:val="fr-FR"/>
        </w:rPr>
      </w:pPr>
      <w:r w:rsidRPr="00C73819">
        <w:rPr>
          <w:sz w:val="16"/>
          <w:szCs w:val="16"/>
          <w:lang w:val="fr-FR"/>
        </w:rPr>
        <w:t>En</w:t>
      </w:r>
      <w:r w:rsidRPr="00376AE0">
        <w:rPr>
          <w:szCs w:val="16"/>
          <w:lang w:val="fr-FR"/>
        </w:rPr>
        <w:t xml:space="preserve"> </w:t>
      </w:r>
      <w:r w:rsidRPr="00250F44">
        <w:rPr>
          <w:sz w:val="16"/>
          <w:szCs w:val="16"/>
          <w:lang w:val="fr-FR"/>
        </w:rPr>
        <w:t>a</w:t>
      </w:r>
      <w:r>
        <w:rPr>
          <w:sz w:val="16"/>
          <w:lang w:val="fr-FR"/>
        </w:rPr>
        <w:t xml:space="preserve">ucun cas, le montant total des pénalités dues au titre de l’ensemble des engagements de qualité service (GTR et </w:t>
      </w:r>
      <w:r w:rsidR="00CA158C">
        <w:rPr>
          <w:sz w:val="16"/>
          <w:lang w:val="fr-FR"/>
        </w:rPr>
        <w:t xml:space="preserve">taux de </w:t>
      </w:r>
      <w:r>
        <w:rPr>
          <w:sz w:val="16"/>
          <w:lang w:val="fr-FR"/>
        </w:rPr>
        <w:t xml:space="preserve">disponibilité) pour une année civile ne </w:t>
      </w:r>
      <w:r w:rsidRPr="00CC6391">
        <w:rPr>
          <w:sz w:val="16"/>
          <w:lang w:val="fr-FR"/>
        </w:rPr>
        <w:t xml:space="preserve">pourra excéder </w:t>
      </w:r>
      <w:r w:rsidR="00D86B43">
        <w:rPr>
          <w:sz w:val="16"/>
          <w:lang w:val="fr-FR"/>
        </w:rPr>
        <w:t>8</w:t>
      </w:r>
      <w:r w:rsidRPr="00CC6391">
        <w:rPr>
          <w:sz w:val="16"/>
          <w:lang w:val="fr-FR"/>
        </w:rPr>
        <w:t>% de la redevance annuelle du Service concerné.</w:t>
      </w:r>
    </w:p>
    <w:p w14:paraId="780271C4" w14:textId="77777777" w:rsidR="001176D9" w:rsidRDefault="001176D9" w:rsidP="00376AE0">
      <w:pPr>
        <w:pStyle w:val="OmniPage1"/>
        <w:jc w:val="both"/>
        <w:rPr>
          <w:sz w:val="16"/>
          <w:lang w:val="fr-FR"/>
        </w:rPr>
      </w:pPr>
    </w:p>
    <w:p w14:paraId="29D48DA1" w14:textId="77777777" w:rsidR="00EA1D1E" w:rsidRPr="004631F5" w:rsidRDefault="00EA1D1E" w:rsidP="009E589D">
      <w:pPr>
        <w:pStyle w:val="OmniPage1"/>
        <w:jc w:val="both"/>
        <w:rPr>
          <w:lang w:val="fr-FR"/>
        </w:rPr>
      </w:pPr>
    </w:p>
    <w:p w14:paraId="5A4A1129" w14:textId="77777777" w:rsidR="00CE5237" w:rsidRDefault="00364BBE" w:rsidP="00CE5237">
      <w:pPr>
        <w:pStyle w:val="StyleTitre2"/>
      </w:pPr>
      <w:r>
        <w:t>Pénalités dues par le Client</w:t>
      </w:r>
    </w:p>
    <w:p w14:paraId="66812A28" w14:textId="77777777" w:rsidR="00364BBE" w:rsidRDefault="00364BBE" w:rsidP="00E0014E">
      <w:r>
        <w:t xml:space="preserve">Des pénalités peuvent être facturées au Client pour les cas suivants </w:t>
      </w:r>
      <w:r w:rsidRPr="00FC1591">
        <w:t>:</w:t>
      </w:r>
    </w:p>
    <w:p w14:paraId="043B3FB0" w14:textId="174DC69F" w:rsidR="00364BBE" w:rsidRPr="00FC1591" w:rsidRDefault="00364BBE" w:rsidP="00E0014E"/>
    <w:p w14:paraId="7006FFC7" w14:textId="179FABBC" w:rsidR="00D679F8" w:rsidRDefault="00D679F8" w:rsidP="004251AF">
      <w:pPr>
        <w:numPr>
          <w:ilvl w:val="0"/>
          <w:numId w:val="12"/>
        </w:numPr>
      </w:pPr>
      <w:r>
        <w:t>En cas d’envoi par le Client de commandes non conformes avec les spécifications du présent Contrat,</w:t>
      </w:r>
      <w:r w:rsidR="005D1480">
        <w:t xml:space="preserve"> sous réserve que ces spécifications aient été transmises au Client par le Fournisseur,</w:t>
      </w:r>
      <w:r w:rsidR="00815E22" w:rsidRPr="00815E22">
        <w:t xml:space="preserve"> </w:t>
      </w:r>
    </w:p>
    <w:p w14:paraId="578F6203" w14:textId="77777777" w:rsidR="00364BBE" w:rsidRDefault="00364BBE" w:rsidP="004251AF">
      <w:pPr>
        <w:numPr>
          <w:ilvl w:val="0"/>
          <w:numId w:val="12"/>
        </w:numPr>
      </w:pPr>
      <w:r>
        <w:t>En cas de signalisation d’un incident pour lequel il s’avère finalement que la responsabilité du Fournisseur n’est pas engagée (dite « Signalisation à tort »).</w:t>
      </w:r>
    </w:p>
    <w:p w14:paraId="32AFFC82" w14:textId="77777777" w:rsidR="00364BBE" w:rsidRDefault="00364BBE" w:rsidP="004251AF">
      <w:pPr>
        <w:numPr>
          <w:ilvl w:val="0"/>
          <w:numId w:val="12"/>
        </w:numPr>
      </w:pPr>
      <w:r>
        <w:t>En cas d’absence de l’Abonné lors d’</w:t>
      </w:r>
      <w:r w:rsidR="00E0014E">
        <w:t>un rendez-vous fixé par le Client</w:t>
      </w:r>
      <w:r>
        <w:t>.</w:t>
      </w:r>
    </w:p>
    <w:p w14:paraId="2476E4E4" w14:textId="77777777" w:rsidR="00D679F8" w:rsidRPr="00D920DE" w:rsidRDefault="00D679F8" w:rsidP="004251AF">
      <w:pPr>
        <w:numPr>
          <w:ilvl w:val="0"/>
          <w:numId w:val="12"/>
        </w:numPr>
      </w:pPr>
      <w:r w:rsidRPr="003C310D">
        <w:t>En cas d’annulation, à l’initiative du Client d’une installation d’Abonné avec un délai d’anticipation insuffisant (délai précisé en Annexe 1A).</w:t>
      </w:r>
    </w:p>
    <w:p w14:paraId="0037B442" w14:textId="77777777" w:rsidR="00364BBE" w:rsidRDefault="00364BBE" w:rsidP="00E0014E">
      <w:pPr>
        <w:pStyle w:val="OmniPage1"/>
        <w:ind w:right="285"/>
        <w:jc w:val="both"/>
        <w:rPr>
          <w:sz w:val="16"/>
          <w:szCs w:val="16"/>
          <w:highlight w:val="lightGray"/>
          <w:lang w:val="fr-FR"/>
        </w:rPr>
      </w:pPr>
    </w:p>
    <w:p w14:paraId="740AE8A4" w14:textId="77777777" w:rsidR="00364BBE" w:rsidRDefault="00364BBE" w:rsidP="00555044">
      <w:pPr>
        <w:pStyle w:val="OmniPage1"/>
        <w:ind w:right="69"/>
        <w:jc w:val="both"/>
        <w:rPr>
          <w:sz w:val="16"/>
          <w:szCs w:val="16"/>
          <w:lang w:val="fr-FR" w:eastAsia="fr-FR"/>
        </w:rPr>
      </w:pPr>
      <w:r w:rsidRPr="00B4673C">
        <w:rPr>
          <w:sz w:val="16"/>
          <w:szCs w:val="16"/>
          <w:lang w:val="fr-FR" w:eastAsia="fr-FR"/>
        </w:rPr>
        <w:t>Les pénalités sont facturées au</w:t>
      </w:r>
      <w:r w:rsidR="00ED4FEA">
        <w:rPr>
          <w:sz w:val="16"/>
          <w:szCs w:val="16"/>
          <w:lang w:val="fr-FR" w:eastAsia="fr-FR"/>
        </w:rPr>
        <w:t>x</w:t>
      </w:r>
      <w:r w:rsidR="00E0014E">
        <w:rPr>
          <w:sz w:val="16"/>
          <w:szCs w:val="16"/>
          <w:lang w:val="fr-FR" w:eastAsia="fr-FR"/>
        </w:rPr>
        <w:t xml:space="preserve"> </w:t>
      </w:r>
      <w:r w:rsidRPr="00B4673C">
        <w:rPr>
          <w:sz w:val="16"/>
          <w:szCs w:val="16"/>
          <w:lang w:val="fr-FR" w:eastAsia="fr-FR"/>
        </w:rPr>
        <w:t>tarif</w:t>
      </w:r>
      <w:r w:rsidR="00ED4FEA">
        <w:rPr>
          <w:sz w:val="16"/>
          <w:szCs w:val="16"/>
          <w:lang w:val="fr-FR" w:eastAsia="fr-FR"/>
        </w:rPr>
        <w:t>s</w:t>
      </w:r>
      <w:r w:rsidRPr="00B4673C">
        <w:rPr>
          <w:sz w:val="16"/>
          <w:szCs w:val="16"/>
          <w:lang w:val="fr-FR" w:eastAsia="fr-FR"/>
        </w:rPr>
        <w:t xml:space="preserve"> précisé</w:t>
      </w:r>
      <w:r w:rsidR="00ED4FEA">
        <w:rPr>
          <w:sz w:val="16"/>
          <w:szCs w:val="16"/>
          <w:lang w:val="fr-FR" w:eastAsia="fr-FR"/>
        </w:rPr>
        <w:t>s</w:t>
      </w:r>
      <w:r w:rsidRPr="00B4673C">
        <w:rPr>
          <w:sz w:val="16"/>
          <w:szCs w:val="16"/>
          <w:lang w:val="fr-FR" w:eastAsia="fr-FR"/>
        </w:rPr>
        <w:t xml:space="preserve"> en Annexe 1A. Elles ont un caractère forfaitaire et </w:t>
      </w:r>
      <w:r w:rsidRPr="00555044">
        <w:rPr>
          <w:sz w:val="16"/>
          <w:szCs w:val="16"/>
          <w:lang w:val="fr-FR" w:eastAsia="fr-FR"/>
        </w:rPr>
        <w:t>libératoire.</w:t>
      </w:r>
    </w:p>
    <w:p w14:paraId="618BE346" w14:textId="77777777" w:rsidR="00ED4FEA" w:rsidRDefault="00ED4FEA" w:rsidP="00597407"/>
    <w:p w14:paraId="4E9ADADB" w14:textId="77777777" w:rsidR="00E0014E" w:rsidRPr="00F25DA0" w:rsidRDefault="00E0014E" w:rsidP="00393014">
      <w:pPr>
        <w:pStyle w:val="StyleTitre1"/>
      </w:pPr>
      <w:r>
        <w:t>EVOLUTION DU CONTRAT</w:t>
      </w:r>
    </w:p>
    <w:p w14:paraId="25CAE903" w14:textId="77777777" w:rsidR="004A1CD4" w:rsidRDefault="004A1CD4" w:rsidP="00E0014E"/>
    <w:p w14:paraId="7459EFAE" w14:textId="1DAB5B0E" w:rsidR="00E0014E" w:rsidRDefault="00E0014E" w:rsidP="00E0014E">
      <w:r>
        <w:t xml:space="preserve">Pour toute modification des termes et conditions du Service ou du Contrat, pour quelque raison que ce soit, les Parties signeront un </w:t>
      </w:r>
      <w:r w:rsidR="00313DA4">
        <w:t xml:space="preserve"> </w:t>
      </w:r>
      <w:r w:rsidR="00200BB5">
        <w:t>n</w:t>
      </w:r>
      <w:r w:rsidR="00313DA4">
        <w:t>ouveau Contrat</w:t>
      </w:r>
      <w:r>
        <w:t>.</w:t>
      </w:r>
    </w:p>
    <w:p w14:paraId="394CCD03" w14:textId="77777777" w:rsidR="00E0014E" w:rsidRDefault="00E0014E" w:rsidP="00E0014E"/>
    <w:p w14:paraId="5261CE05" w14:textId="51D0E3F4" w:rsidR="00E0014E" w:rsidRPr="00026BD0" w:rsidRDefault="00E0014E" w:rsidP="00E0014E">
      <w:r w:rsidRPr="00026BD0">
        <w:t>Par exception, les Parties conviennent que sont réalisées uniquement par voie de notification écri</w:t>
      </w:r>
      <w:r>
        <w:t>te par le Fournisseur au Client</w:t>
      </w:r>
      <w:r w:rsidRPr="00026BD0">
        <w:t xml:space="preserve">, </w:t>
      </w:r>
      <w:r w:rsidRPr="00B26757">
        <w:t xml:space="preserve">sans qu’il soit besoin de procéder à la signature d’un </w:t>
      </w:r>
      <w:r w:rsidR="00200BB5">
        <w:t xml:space="preserve"> nouveau Contrat</w:t>
      </w:r>
      <w:r w:rsidRPr="00B26757">
        <w:t xml:space="preserve">, </w:t>
      </w:r>
      <w:r w:rsidR="007173DC" w:rsidRPr="00B26757">
        <w:t>les modifications suivantes </w:t>
      </w:r>
      <w:r w:rsidRPr="00B26757">
        <w:t>:</w:t>
      </w:r>
    </w:p>
    <w:p w14:paraId="0D297F2B" w14:textId="77777777" w:rsidR="00E0014E" w:rsidRPr="00026BD0" w:rsidRDefault="00E0014E" w:rsidP="00E0014E"/>
    <w:p w14:paraId="0C0056F0" w14:textId="77777777" w:rsidR="00E0014E" w:rsidRPr="00026BD0" w:rsidRDefault="007173DC" w:rsidP="00E0014E">
      <w:r>
        <w:t xml:space="preserve">Sous réserve </w:t>
      </w:r>
      <w:r w:rsidR="00E0014E" w:rsidRPr="00026BD0">
        <w:t>d’un préavis de 6 mois pour :</w:t>
      </w:r>
    </w:p>
    <w:p w14:paraId="0413DF27" w14:textId="77777777" w:rsidR="00E0014E" w:rsidRDefault="00E0014E" w:rsidP="004251AF">
      <w:pPr>
        <w:numPr>
          <w:ilvl w:val="0"/>
          <w:numId w:val="9"/>
        </w:numPr>
      </w:pPr>
      <w:r w:rsidRPr="00026BD0">
        <w:t>toute modification de l’Annexe 2 impactant les équip</w:t>
      </w:r>
      <w:r>
        <w:t xml:space="preserve">ements actifs </w:t>
      </w:r>
      <w:r w:rsidR="00915E5E" w:rsidRPr="00915E5E">
        <w:t>ou passifs</w:t>
      </w:r>
      <w:r>
        <w:t xml:space="preserve"> du Client</w:t>
      </w:r>
      <w:r w:rsidR="00083BA1">
        <w:t xml:space="preserve">, ou le </w:t>
      </w:r>
      <w:r w:rsidR="00E3638F">
        <w:t>S</w:t>
      </w:r>
      <w:r w:rsidR="00083BA1">
        <w:t xml:space="preserve">ervice fourni au </w:t>
      </w:r>
      <w:r w:rsidR="00E3638F">
        <w:t>C</w:t>
      </w:r>
      <w:r w:rsidR="00083BA1">
        <w:t>lient</w:t>
      </w:r>
      <w:r w:rsidR="0075533B">
        <w:t>. Le Client conserve cependant la possibilité de refuser ces modifications et le cas échéant, au choix du Client, soit de résilier le présent Contrat et les Commandes en cours de plein droit et avec effet immédiat, soit de résilier le présent Contrat de plein droit et avec effet immédiat avec poursuite des Commandes en cours jusqu’à leur terme initial sans</w:t>
      </w:r>
      <w:r w:rsidR="00B1757C">
        <w:t xml:space="preserve"> possibilité de renouvellement ;</w:t>
      </w:r>
    </w:p>
    <w:p w14:paraId="096483DC" w14:textId="77777777" w:rsidR="005C6947" w:rsidRPr="00026BD0" w:rsidRDefault="005C6947" w:rsidP="0075533B">
      <w:pPr>
        <w:ind w:left="720"/>
      </w:pPr>
    </w:p>
    <w:p w14:paraId="7023343C" w14:textId="77777777" w:rsidR="00E0014E" w:rsidRPr="00026BD0" w:rsidRDefault="008C2F06" w:rsidP="00E0014E">
      <w:r>
        <w:t>S</w:t>
      </w:r>
      <w:r w:rsidR="007173DC">
        <w:t xml:space="preserve">ous réserve </w:t>
      </w:r>
      <w:r w:rsidR="00E0014E" w:rsidRPr="00026BD0">
        <w:t>d’un préavis de 3 mois pour :</w:t>
      </w:r>
    </w:p>
    <w:p w14:paraId="1197CD2C" w14:textId="77777777" w:rsidR="00E0014E" w:rsidRDefault="00E0014E" w:rsidP="004251AF">
      <w:pPr>
        <w:numPr>
          <w:ilvl w:val="0"/>
          <w:numId w:val="9"/>
        </w:numPr>
      </w:pPr>
      <w:r w:rsidRPr="00026BD0">
        <w:t>toute modification de l’Annexe 2 n’impactant pas les équipemen</w:t>
      </w:r>
      <w:r>
        <w:t>ts actifs ou passifs du Client</w:t>
      </w:r>
      <w:r w:rsidR="00DE22F9">
        <w:t xml:space="preserve">, </w:t>
      </w:r>
      <w:r w:rsidR="00DE22F9" w:rsidRPr="00DE22F9">
        <w:t xml:space="preserve">ou le </w:t>
      </w:r>
      <w:r w:rsidR="00E3638F">
        <w:t>S</w:t>
      </w:r>
      <w:r w:rsidR="00DE22F9" w:rsidRPr="00DE22F9">
        <w:t xml:space="preserve">ervice  fourni au </w:t>
      </w:r>
      <w:r w:rsidR="00E3638F">
        <w:t>C</w:t>
      </w:r>
      <w:r w:rsidR="00DE22F9" w:rsidRPr="00DE22F9">
        <w:t>lient</w:t>
      </w:r>
      <w:r w:rsidRPr="00026BD0">
        <w:t>;</w:t>
      </w:r>
    </w:p>
    <w:p w14:paraId="07A6CFB4" w14:textId="6D693FD9" w:rsidR="00D679F8" w:rsidRPr="001867BB" w:rsidRDefault="00D679F8" w:rsidP="004251AF">
      <w:pPr>
        <w:numPr>
          <w:ilvl w:val="0"/>
          <w:numId w:val="9"/>
        </w:numPr>
      </w:pPr>
      <w:r>
        <w:t>toute modification à la hausse des tarifs de l’Annexe 1</w:t>
      </w:r>
      <w:r w:rsidR="000B28B3">
        <w:t xml:space="preserve"> ou de l’Annexe 1.B</w:t>
      </w:r>
      <w:r>
        <w:t xml:space="preserve"> résultant de l’application de l’indexation prévue au contrat</w:t>
      </w:r>
    </w:p>
    <w:p w14:paraId="257AE124" w14:textId="77777777" w:rsidR="00D679F8" w:rsidRPr="00026BD0" w:rsidRDefault="00D679F8" w:rsidP="00D679F8">
      <w:pPr>
        <w:ind w:left="720"/>
      </w:pPr>
    </w:p>
    <w:p w14:paraId="761BF71E" w14:textId="77777777" w:rsidR="00E0014E" w:rsidRPr="00026BD0" w:rsidRDefault="00E0014E" w:rsidP="00E0014E"/>
    <w:p w14:paraId="29E44052" w14:textId="77777777" w:rsidR="00E0014E" w:rsidRPr="00026BD0" w:rsidRDefault="008C2F06" w:rsidP="00E0014E">
      <w:r>
        <w:t>S</w:t>
      </w:r>
      <w:r w:rsidR="007173DC">
        <w:t xml:space="preserve">ous réserve </w:t>
      </w:r>
      <w:r w:rsidR="00E0014E" w:rsidRPr="00026BD0">
        <w:t>d’un préavis de 1 mois pour :</w:t>
      </w:r>
    </w:p>
    <w:p w14:paraId="34845E89" w14:textId="289CCAED" w:rsidR="00E0014E" w:rsidRPr="001867BB" w:rsidRDefault="00C3519B" w:rsidP="004251AF">
      <w:pPr>
        <w:numPr>
          <w:ilvl w:val="0"/>
          <w:numId w:val="9"/>
        </w:numPr>
      </w:pPr>
      <w:r w:rsidRPr="00C3519B">
        <w:lastRenderedPageBreak/>
        <w:t>toute modification à la baisse des tarifs de l’Annexe 1</w:t>
      </w:r>
      <w:r w:rsidR="000B28B3">
        <w:t xml:space="preserve"> ou de l’Annexe 1.B</w:t>
      </w:r>
      <w:r w:rsidRPr="00C3519B">
        <w:t xml:space="preserve"> sans modification de la structure tarifaire ou des pénalités</w:t>
      </w:r>
      <w:r w:rsidR="003C310D" w:rsidRPr="003C310D">
        <w:t>.</w:t>
      </w:r>
    </w:p>
    <w:p w14:paraId="552B71F4" w14:textId="77777777" w:rsidR="00E0014E" w:rsidRDefault="00E0014E" w:rsidP="00E0014E"/>
    <w:p w14:paraId="7EBF82B7" w14:textId="031E5BDD" w:rsidR="008C014B" w:rsidRDefault="00E0014E" w:rsidP="00E0014E">
      <w:r w:rsidRPr="00B4673C">
        <w:t>Toutefois, lorsque les modifications du Contrat sont imposées par la règlementation, y compris par toute décision d'une autorité administrative ou judiciaire prise en application de cette dernière, dans des délais qui sont incompatibles avec les délais contractuels de préavis de modification unilatérale du Contrat, les Parties conviennent que les modifications du Contrat en cause prendront effet à la date imposée par ladite règlementation. Dans ce cas, la date d'effet applicable sera mentionnée dans la notification envoy</w:t>
      </w:r>
      <w:r>
        <w:t>ée par le Fournisseur au Client</w:t>
      </w:r>
      <w:r w:rsidRPr="00B4673C">
        <w:t>.</w:t>
      </w:r>
      <w:r w:rsidR="00EC41AF">
        <w:t xml:space="preserve"> </w:t>
      </w:r>
    </w:p>
    <w:p w14:paraId="4DF0F6D3" w14:textId="77777777" w:rsidR="00200BB5" w:rsidRDefault="00200BB5" w:rsidP="00E0014E"/>
    <w:p w14:paraId="1406A7F6" w14:textId="77777777" w:rsidR="00EC41AF" w:rsidRDefault="00EC41AF" w:rsidP="00E0014E"/>
    <w:p w14:paraId="0B1B2D6A" w14:textId="77777777" w:rsidR="00BA0103" w:rsidRDefault="00BA0103" w:rsidP="00E0014E"/>
    <w:p w14:paraId="2CA9FCB3" w14:textId="77777777" w:rsidR="00BA0103" w:rsidRDefault="00BA0103" w:rsidP="00E0014E"/>
    <w:p w14:paraId="5E66370C" w14:textId="77777777" w:rsidR="00387C7E" w:rsidRPr="00F25DA0" w:rsidRDefault="00387C7E" w:rsidP="00393014">
      <w:pPr>
        <w:pStyle w:val="StyleTitre1"/>
      </w:pPr>
      <w:bookmarkStart w:id="28" w:name="_Toc150262792"/>
      <w:r w:rsidRPr="00F25DA0">
        <w:t>OBLIGATIONS DES PARTIES</w:t>
      </w:r>
      <w:bookmarkEnd w:id="28"/>
      <w:r w:rsidRPr="00F25DA0">
        <w:t xml:space="preserve"> </w:t>
      </w:r>
    </w:p>
    <w:p w14:paraId="125AA76C" w14:textId="77777777" w:rsidR="00CE5237" w:rsidRDefault="00CE5237" w:rsidP="00CE5237">
      <w:pPr>
        <w:pStyle w:val="StyleTitre2"/>
      </w:pPr>
      <w:bookmarkStart w:id="29" w:name="_Toc150262793"/>
      <w:bookmarkEnd w:id="29"/>
    </w:p>
    <w:p w14:paraId="3AD58877" w14:textId="79A2D225" w:rsidR="007173DC" w:rsidRDefault="00387C7E">
      <w:pPr>
        <w:pStyle w:val="OmniPage1"/>
        <w:ind w:right="-59"/>
        <w:jc w:val="both"/>
        <w:rPr>
          <w:sz w:val="16"/>
          <w:lang w:val="fr-FR"/>
        </w:rPr>
      </w:pPr>
      <w:r>
        <w:rPr>
          <w:sz w:val="16"/>
          <w:lang w:val="fr-FR"/>
        </w:rPr>
        <w:t xml:space="preserve">Les Parties conviennent expressément que </w:t>
      </w:r>
      <w:r w:rsidR="00873672">
        <w:rPr>
          <w:sz w:val="16"/>
          <w:lang w:val="fr-FR"/>
        </w:rPr>
        <w:t xml:space="preserve">le </w:t>
      </w:r>
      <w:r w:rsidR="00873672" w:rsidRPr="00CE0227">
        <w:rPr>
          <w:sz w:val="16"/>
          <w:lang w:val="fr-FR"/>
        </w:rPr>
        <w:t>Fournisseur</w:t>
      </w:r>
      <w:r>
        <w:rPr>
          <w:sz w:val="16"/>
          <w:lang w:val="fr-FR"/>
        </w:rPr>
        <w:t xml:space="preserve"> ou ses fournisseurs </w:t>
      </w:r>
      <w:r w:rsidR="002A5A87">
        <w:rPr>
          <w:sz w:val="16"/>
          <w:lang w:val="fr-FR"/>
        </w:rPr>
        <w:t xml:space="preserve">ou la Collectivité Locale Délégante </w:t>
      </w:r>
      <w:r>
        <w:rPr>
          <w:sz w:val="16"/>
          <w:lang w:val="fr-FR"/>
        </w:rPr>
        <w:t>demeureront</w:t>
      </w:r>
      <w:r w:rsidR="00605C70">
        <w:rPr>
          <w:sz w:val="16"/>
          <w:lang w:val="fr-FR"/>
        </w:rPr>
        <w:t xml:space="preserve"> </w:t>
      </w:r>
      <w:r>
        <w:rPr>
          <w:sz w:val="16"/>
          <w:lang w:val="fr-FR"/>
        </w:rPr>
        <w:t>de manière permanente pleinement propriétaires de</w:t>
      </w:r>
      <w:r w:rsidR="007173DC">
        <w:rPr>
          <w:sz w:val="16"/>
          <w:lang w:val="fr-FR"/>
        </w:rPr>
        <w:t xml:space="preserve"> leurs </w:t>
      </w:r>
      <w:r>
        <w:rPr>
          <w:sz w:val="16"/>
          <w:lang w:val="fr-FR"/>
        </w:rPr>
        <w:t xml:space="preserve">Equipements et qu'aucun droit de propriété n'est transféré </w:t>
      </w:r>
      <w:r w:rsidR="00122E66">
        <w:rPr>
          <w:sz w:val="16"/>
          <w:lang w:val="fr-FR"/>
        </w:rPr>
        <w:t xml:space="preserve">au </w:t>
      </w:r>
      <w:r w:rsidR="00122E66" w:rsidRPr="00665231">
        <w:rPr>
          <w:sz w:val="16"/>
          <w:lang w:val="fr-FR"/>
        </w:rPr>
        <w:t>Client</w:t>
      </w:r>
      <w:r>
        <w:rPr>
          <w:sz w:val="16"/>
          <w:lang w:val="fr-FR"/>
        </w:rPr>
        <w:t xml:space="preserve"> sur l'un quelconque des éléments mis à sa disposition au titre d'une Commande, y compris les éléments d'accès au Service, leurs logiciels et leurs documentation, livrets et instructions techniques fournis </w:t>
      </w:r>
      <w:r w:rsidR="00122E66">
        <w:rPr>
          <w:sz w:val="16"/>
          <w:lang w:val="fr-FR"/>
        </w:rPr>
        <w:t xml:space="preserve">au </w:t>
      </w:r>
      <w:r w:rsidR="00122E66" w:rsidRPr="00665231">
        <w:rPr>
          <w:sz w:val="16"/>
          <w:lang w:val="fr-FR"/>
        </w:rPr>
        <w:t>Client</w:t>
      </w:r>
      <w:r>
        <w:rPr>
          <w:sz w:val="16"/>
          <w:lang w:val="fr-FR"/>
        </w:rPr>
        <w:t xml:space="preserve">. Par conséquent, </w:t>
      </w:r>
      <w:r w:rsidR="00122E66">
        <w:rPr>
          <w:sz w:val="16"/>
          <w:lang w:val="fr-FR"/>
        </w:rPr>
        <w:t xml:space="preserve">le </w:t>
      </w:r>
      <w:r w:rsidR="00122E66" w:rsidRPr="00665231">
        <w:rPr>
          <w:sz w:val="16"/>
          <w:lang w:val="fr-FR"/>
        </w:rPr>
        <w:t>Client</w:t>
      </w:r>
      <w:r w:rsidR="00122E66">
        <w:rPr>
          <w:sz w:val="16"/>
          <w:lang w:val="fr-FR"/>
        </w:rPr>
        <w:t xml:space="preserve"> </w:t>
      </w:r>
      <w:r>
        <w:rPr>
          <w:sz w:val="16"/>
          <w:lang w:val="fr-FR"/>
        </w:rPr>
        <w:t xml:space="preserve">s'engage à ce que ni </w:t>
      </w:r>
      <w:r w:rsidR="001B44E9">
        <w:rPr>
          <w:sz w:val="16"/>
          <w:lang w:val="fr-FR"/>
        </w:rPr>
        <w:t>lui-même</w:t>
      </w:r>
      <w:r>
        <w:rPr>
          <w:sz w:val="16"/>
          <w:lang w:val="fr-FR"/>
        </w:rPr>
        <w:t xml:space="preserve"> ni un </w:t>
      </w:r>
      <w:r w:rsidR="00E6702F">
        <w:rPr>
          <w:sz w:val="16"/>
          <w:lang w:val="fr-FR"/>
        </w:rPr>
        <w:t>Utilisateur Final</w:t>
      </w:r>
      <w:r>
        <w:rPr>
          <w:sz w:val="16"/>
          <w:lang w:val="fr-FR"/>
        </w:rPr>
        <w:t xml:space="preserve"> ne procède à tout acte de disposition ou permette tout acte, quel que soit, contraire aux droits de propriété ou de licence </w:t>
      </w:r>
      <w:r w:rsidR="00873672">
        <w:rPr>
          <w:sz w:val="16"/>
          <w:lang w:val="fr-FR"/>
        </w:rPr>
        <w:t xml:space="preserve">du </w:t>
      </w:r>
      <w:r w:rsidR="00873672" w:rsidRPr="00CE0227">
        <w:rPr>
          <w:sz w:val="16"/>
          <w:lang w:val="fr-FR"/>
        </w:rPr>
        <w:t>Fournisseur</w:t>
      </w:r>
      <w:r w:rsidR="00960C4C">
        <w:rPr>
          <w:sz w:val="16"/>
          <w:lang w:val="fr-FR"/>
        </w:rPr>
        <w:t>, de ses fournisseurs et de la Collectivité Locale Délégante</w:t>
      </w:r>
      <w:r>
        <w:rPr>
          <w:sz w:val="16"/>
          <w:lang w:val="fr-FR"/>
        </w:rPr>
        <w:t xml:space="preserve">. </w:t>
      </w:r>
    </w:p>
    <w:p w14:paraId="2CE119D8" w14:textId="77777777" w:rsidR="007173DC" w:rsidRDefault="007173DC">
      <w:pPr>
        <w:pStyle w:val="OmniPage1"/>
        <w:ind w:right="-59"/>
        <w:jc w:val="both"/>
        <w:rPr>
          <w:sz w:val="16"/>
          <w:lang w:val="fr-FR"/>
        </w:rPr>
      </w:pPr>
    </w:p>
    <w:p w14:paraId="52A93A6D" w14:textId="7664D797" w:rsidR="00387C7E" w:rsidRDefault="00387C7E">
      <w:pPr>
        <w:pStyle w:val="OmniPage1"/>
        <w:ind w:right="-59"/>
        <w:jc w:val="both"/>
        <w:rPr>
          <w:sz w:val="16"/>
          <w:lang w:val="fr-FR"/>
        </w:rPr>
      </w:pPr>
      <w:r>
        <w:rPr>
          <w:sz w:val="16"/>
          <w:lang w:val="fr-FR"/>
        </w:rPr>
        <w:t xml:space="preserve">Lorsque des logiciels sont nécessaires à l'utilisation par </w:t>
      </w:r>
      <w:r w:rsidR="008E5CCD">
        <w:rPr>
          <w:sz w:val="16"/>
          <w:lang w:val="fr-FR"/>
        </w:rPr>
        <w:t>l</w:t>
      </w:r>
      <w:r w:rsidR="007173DC">
        <w:rPr>
          <w:sz w:val="16"/>
          <w:lang w:val="fr-FR"/>
        </w:rPr>
        <w:t>’</w:t>
      </w:r>
      <w:r w:rsidR="00E6702F">
        <w:rPr>
          <w:sz w:val="16"/>
          <w:lang w:val="fr-FR"/>
        </w:rPr>
        <w:t>Utilisateur Final</w:t>
      </w:r>
      <w:r>
        <w:rPr>
          <w:sz w:val="16"/>
          <w:lang w:val="fr-FR"/>
        </w:rPr>
        <w:t xml:space="preserve"> des Equipements </w:t>
      </w:r>
      <w:r w:rsidR="00873672">
        <w:rPr>
          <w:sz w:val="16"/>
          <w:lang w:val="fr-FR"/>
        </w:rPr>
        <w:t xml:space="preserve">du </w:t>
      </w:r>
      <w:r w:rsidR="00873672" w:rsidRPr="00CE0227">
        <w:rPr>
          <w:sz w:val="16"/>
          <w:lang w:val="fr-FR"/>
        </w:rPr>
        <w:t>Fournisseur</w:t>
      </w:r>
      <w:r w:rsidR="00960C4C">
        <w:rPr>
          <w:sz w:val="16"/>
          <w:lang w:val="fr-FR"/>
        </w:rPr>
        <w:t xml:space="preserve"> ou de l</w:t>
      </w:r>
      <w:r w:rsidR="00E76CED">
        <w:rPr>
          <w:sz w:val="16"/>
          <w:lang w:val="fr-FR"/>
        </w:rPr>
        <w:t>a</w:t>
      </w:r>
      <w:r w:rsidR="00960C4C">
        <w:rPr>
          <w:sz w:val="16"/>
          <w:lang w:val="fr-FR"/>
        </w:rPr>
        <w:t xml:space="preserve"> Collectivité Locale Délégante</w:t>
      </w:r>
      <w:r>
        <w:rPr>
          <w:sz w:val="16"/>
          <w:lang w:val="fr-FR"/>
        </w:rPr>
        <w:t xml:space="preserve">, </w:t>
      </w:r>
      <w:r w:rsidR="00960C4C">
        <w:rPr>
          <w:sz w:val="16"/>
          <w:lang w:val="fr-FR"/>
        </w:rPr>
        <w:t>le Fournisseur</w:t>
      </w:r>
      <w:r w:rsidR="00BC4301">
        <w:rPr>
          <w:sz w:val="16"/>
          <w:lang w:val="fr-FR"/>
        </w:rPr>
        <w:t xml:space="preserve"> </w:t>
      </w:r>
      <w:r>
        <w:rPr>
          <w:sz w:val="16"/>
          <w:lang w:val="fr-FR"/>
        </w:rPr>
        <w:t>concède</w:t>
      </w:r>
      <w:r w:rsidR="00605C70">
        <w:rPr>
          <w:sz w:val="16"/>
          <w:lang w:val="fr-FR"/>
        </w:rPr>
        <w:t xml:space="preserve"> </w:t>
      </w:r>
      <w:r w:rsidR="001B44E9">
        <w:rPr>
          <w:sz w:val="16"/>
          <w:lang w:val="fr-FR"/>
        </w:rPr>
        <w:t xml:space="preserve">aux </w:t>
      </w:r>
      <w:r w:rsidR="00E6702F">
        <w:rPr>
          <w:sz w:val="16"/>
          <w:lang w:val="fr-FR"/>
        </w:rPr>
        <w:t>Utilisateur</w:t>
      </w:r>
      <w:r w:rsidR="007173DC">
        <w:rPr>
          <w:sz w:val="16"/>
          <w:lang w:val="fr-FR"/>
        </w:rPr>
        <w:t>s</w:t>
      </w:r>
      <w:r w:rsidR="00E6702F">
        <w:rPr>
          <w:sz w:val="16"/>
          <w:lang w:val="fr-FR"/>
        </w:rPr>
        <w:t xml:space="preserve"> Fina</w:t>
      </w:r>
      <w:r w:rsidR="007173DC">
        <w:rPr>
          <w:sz w:val="16"/>
          <w:lang w:val="fr-FR"/>
        </w:rPr>
        <w:t>ux</w:t>
      </w:r>
      <w:r w:rsidR="00263593">
        <w:rPr>
          <w:sz w:val="16"/>
          <w:lang w:val="fr-FR"/>
        </w:rPr>
        <w:t>,</w:t>
      </w:r>
      <w:r w:rsidR="00BC4301">
        <w:rPr>
          <w:sz w:val="16"/>
          <w:lang w:val="fr-FR"/>
        </w:rPr>
        <w:t xml:space="preserve"> </w:t>
      </w:r>
      <w:r>
        <w:rPr>
          <w:sz w:val="16"/>
          <w:lang w:val="fr-FR"/>
        </w:rPr>
        <w:t xml:space="preserve">un droit d'usage personnel, non exclusif et non transférable sur ces logiciels pour ses seuls besoins propres. Ce droit est consenti pour la durée de chaque Commande. </w:t>
      </w:r>
      <w:r w:rsidR="00122E66">
        <w:rPr>
          <w:sz w:val="16"/>
          <w:lang w:val="fr-FR"/>
        </w:rPr>
        <w:t xml:space="preserve">Le </w:t>
      </w:r>
      <w:r w:rsidR="00122E66" w:rsidRPr="00665231">
        <w:rPr>
          <w:sz w:val="16"/>
          <w:lang w:val="fr-FR"/>
        </w:rPr>
        <w:t>Client</w:t>
      </w:r>
      <w:r w:rsidR="00122E66">
        <w:rPr>
          <w:sz w:val="16"/>
          <w:lang w:val="fr-FR"/>
        </w:rPr>
        <w:t xml:space="preserve"> </w:t>
      </w:r>
      <w:r>
        <w:rPr>
          <w:sz w:val="16"/>
          <w:lang w:val="fr-FR"/>
        </w:rPr>
        <w:t xml:space="preserve">s'interdit d'effectuer toute adaptation, modification, duplication ou reproduction de ces logiciels, quelle qu'en soit la nature, de les installer sur d'autres équipements et, de manière générale, s’interdit tout acte qui contreviendrait aux droits </w:t>
      </w:r>
      <w:r w:rsidR="00873672">
        <w:rPr>
          <w:sz w:val="16"/>
          <w:lang w:val="fr-FR"/>
        </w:rPr>
        <w:t xml:space="preserve">du </w:t>
      </w:r>
      <w:r w:rsidR="00873672" w:rsidRPr="00873672">
        <w:rPr>
          <w:sz w:val="16"/>
          <w:lang w:val="fr-FR"/>
        </w:rPr>
        <w:t xml:space="preserve"> </w:t>
      </w:r>
      <w:r w:rsidR="00873672" w:rsidRPr="00CE0227">
        <w:rPr>
          <w:sz w:val="16"/>
          <w:lang w:val="fr-FR"/>
        </w:rPr>
        <w:t>Fournisseur</w:t>
      </w:r>
      <w:r w:rsidR="00960C4C">
        <w:rPr>
          <w:sz w:val="16"/>
          <w:lang w:val="fr-FR"/>
        </w:rPr>
        <w:t>,</w:t>
      </w:r>
      <w:r>
        <w:rPr>
          <w:sz w:val="16"/>
          <w:lang w:val="fr-FR"/>
        </w:rPr>
        <w:t xml:space="preserve"> de ses fournis</w:t>
      </w:r>
      <w:r w:rsidR="00873672">
        <w:rPr>
          <w:sz w:val="16"/>
          <w:lang w:val="fr-FR"/>
        </w:rPr>
        <w:t>s</w:t>
      </w:r>
      <w:r>
        <w:rPr>
          <w:sz w:val="16"/>
          <w:lang w:val="fr-FR"/>
        </w:rPr>
        <w:t>eurs</w:t>
      </w:r>
      <w:r w:rsidR="00960C4C">
        <w:rPr>
          <w:sz w:val="16"/>
          <w:lang w:val="fr-FR"/>
        </w:rPr>
        <w:t xml:space="preserve"> et/ou de la Collectivité Locale Délégante.</w:t>
      </w:r>
      <w:r>
        <w:rPr>
          <w:sz w:val="16"/>
          <w:lang w:val="fr-FR"/>
        </w:rPr>
        <w:t xml:space="preserve"> </w:t>
      </w:r>
    </w:p>
    <w:p w14:paraId="413341F6" w14:textId="77777777" w:rsidR="00E377B7" w:rsidRDefault="00E377B7">
      <w:pPr>
        <w:pStyle w:val="OmniPage1"/>
        <w:ind w:right="-59"/>
        <w:jc w:val="both"/>
        <w:rPr>
          <w:sz w:val="16"/>
          <w:lang w:val="fr-FR"/>
        </w:rPr>
      </w:pPr>
    </w:p>
    <w:p w14:paraId="66765674" w14:textId="1422B1A9" w:rsidR="003D0F20" w:rsidRDefault="00387C7E">
      <w:pPr>
        <w:pStyle w:val="OmniPage1"/>
        <w:ind w:right="-72"/>
        <w:jc w:val="both"/>
        <w:rPr>
          <w:sz w:val="16"/>
          <w:lang w:val="fr-FR"/>
        </w:rPr>
      </w:pPr>
      <w:r>
        <w:rPr>
          <w:sz w:val="16"/>
          <w:lang w:val="fr-FR"/>
        </w:rPr>
        <w:t xml:space="preserve">En cas de saisie ou de toute autre prétention d'un tiers à des droits sur les Equipements </w:t>
      </w:r>
      <w:r w:rsidR="00873672">
        <w:rPr>
          <w:sz w:val="16"/>
          <w:lang w:val="fr-FR"/>
        </w:rPr>
        <w:t xml:space="preserve">du </w:t>
      </w:r>
      <w:r w:rsidR="00873672" w:rsidRPr="00CE0227">
        <w:rPr>
          <w:sz w:val="16"/>
          <w:lang w:val="fr-FR"/>
        </w:rPr>
        <w:t>Fournisseur</w:t>
      </w:r>
      <w:r w:rsidR="00960C4C">
        <w:rPr>
          <w:sz w:val="16"/>
          <w:lang w:val="fr-FR"/>
        </w:rPr>
        <w:t xml:space="preserve"> ou de la Collectivité Locale Délégante</w:t>
      </w:r>
      <w:r>
        <w:rPr>
          <w:sz w:val="16"/>
          <w:lang w:val="fr-FR"/>
        </w:rPr>
        <w:t xml:space="preserve">, y compris les éventuels logiciels, </w:t>
      </w:r>
      <w:r w:rsidR="00122E66">
        <w:rPr>
          <w:sz w:val="16"/>
          <w:lang w:val="fr-FR"/>
        </w:rPr>
        <w:t xml:space="preserve">le </w:t>
      </w:r>
      <w:r w:rsidR="00122E66" w:rsidRPr="00665231">
        <w:rPr>
          <w:sz w:val="16"/>
          <w:lang w:val="fr-FR"/>
        </w:rPr>
        <w:t>Client</w:t>
      </w:r>
      <w:r w:rsidR="00122E66">
        <w:rPr>
          <w:sz w:val="16"/>
          <w:lang w:val="fr-FR"/>
        </w:rPr>
        <w:t xml:space="preserve"> </w:t>
      </w:r>
      <w:r>
        <w:rPr>
          <w:sz w:val="16"/>
          <w:lang w:val="fr-FR"/>
        </w:rPr>
        <w:t>est tenu</w:t>
      </w:r>
      <w:r w:rsidR="00FF6A57">
        <w:rPr>
          <w:sz w:val="16"/>
          <w:lang w:val="fr-FR"/>
        </w:rPr>
        <w:t>, dès qu’il en a connaissance,</w:t>
      </w:r>
      <w:r>
        <w:rPr>
          <w:sz w:val="16"/>
          <w:lang w:val="fr-FR"/>
        </w:rPr>
        <w:t xml:space="preserve"> de s'y opposer et d'en aviser immédiatement </w:t>
      </w:r>
      <w:r w:rsidR="00873672">
        <w:rPr>
          <w:sz w:val="16"/>
          <w:lang w:val="fr-FR"/>
        </w:rPr>
        <w:t xml:space="preserve">le </w:t>
      </w:r>
      <w:r w:rsidR="00873672" w:rsidRPr="00CE0227">
        <w:rPr>
          <w:sz w:val="16"/>
          <w:lang w:val="fr-FR"/>
        </w:rPr>
        <w:t>Fournisseur</w:t>
      </w:r>
      <w:r>
        <w:rPr>
          <w:sz w:val="16"/>
          <w:lang w:val="fr-FR"/>
        </w:rPr>
        <w:t xml:space="preserve"> afin de lui permettre de sauvegarder </w:t>
      </w:r>
      <w:r w:rsidR="00605C70">
        <w:rPr>
          <w:sz w:val="16"/>
          <w:lang w:val="fr-FR"/>
        </w:rPr>
        <w:t>l</w:t>
      </w:r>
      <w:r>
        <w:rPr>
          <w:sz w:val="16"/>
          <w:lang w:val="fr-FR"/>
        </w:rPr>
        <w:t>es droits</w:t>
      </w:r>
      <w:r w:rsidR="00605C70">
        <w:rPr>
          <w:sz w:val="16"/>
          <w:lang w:val="fr-FR"/>
        </w:rPr>
        <w:t xml:space="preserve"> </w:t>
      </w:r>
      <w:r w:rsidR="00A5278A">
        <w:rPr>
          <w:sz w:val="16"/>
          <w:lang w:val="fr-FR"/>
        </w:rPr>
        <w:t xml:space="preserve">du Fournisseur ou </w:t>
      </w:r>
      <w:r w:rsidR="00960C4C">
        <w:rPr>
          <w:sz w:val="16"/>
          <w:lang w:val="fr-FR"/>
        </w:rPr>
        <w:t>de la Collectivité Locale Délégante</w:t>
      </w:r>
      <w:r>
        <w:rPr>
          <w:sz w:val="16"/>
          <w:lang w:val="fr-FR"/>
        </w:rPr>
        <w:t xml:space="preserve">.. </w:t>
      </w:r>
      <w:r>
        <w:rPr>
          <w:sz w:val="16"/>
          <w:lang w:val="fr-FR"/>
        </w:rPr>
        <w:t xml:space="preserve">De la même </w:t>
      </w:r>
      <w:r w:rsidR="00DF2C2D">
        <w:rPr>
          <w:sz w:val="16"/>
          <w:lang w:val="fr-FR"/>
        </w:rPr>
        <w:t>manière, en</w:t>
      </w:r>
      <w:r>
        <w:rPr>
          <w:sz w:val="16"/>
          <w:lang w:val="fr-FR"/>
        </w:rPr>
        <w:t xml:space="preserve"> cas de procédure collective </w:t>
      </w:r>
      <w:r w:rsidR="00122E66">
        <w:rPr>
          <w:sz w:val="16"/>
          <w:lang w:val="fr-FR"/>
        </w:rPr>
        <w:t xml:space="preserve">du </w:t>
      </w:r>
      <w:r w:rsidR="00122E66" w:rsidRPr="00665231">
        <w:rPr>
          <w:sz w:val="16"/>
          <w:lang w:val="fr-FR"/>
        </w:rPr>
        <w:t>Client</w:t>
      </w:r>
      <w:r w:rsidR="007D6083">
        <w:rPr>
          <w:sz w:val="16"/>
          <w:lang w:val="fr-FR"/>
        </w:rPr>
        <w:t>, le Client avisera immédiatement le Fournisseur.</w:t>
      </w:r>
      <w:r>
        <w:rPr>
          <w:sz w:val="16"/>
          <w:lang w:val="fr-FR"/>
        </w:rPr>
        <w:t xml:space="preserve"> </w:t>
      </w:r>
    </w:p>
    <w:p w14:paraId="64DF830B" w14:textId="77777777" w:rsidR="00387C7E" w:rsidRDefault="00387C7E">
      <w:pPr>
        <w:pStyle w:val="OmniPage1"/>
        <w:tabs>
          <w:tab w:val="left" w:pos="110"/>
          <w:tab w:val="right" w:pos="10286"/>
        </w:tabs>
        <w:ind w:right="45"/>
        <w:jc w:val="both"/>
        <w:rPr>
          <w:sz w:val="16"/>
          <w:lang w:val="fr-FR"/>
        </w:rPr>
      </w:pPr>
    </w:p>
    <w:p w14:paraId="6DB33434" w14:textId="77777777" w:rsidR="00CE5237" w:rsidRDefault="00CE5237" w:rsidP="00CE5237">
      <w:pPr>
        <w:pStyle w:val="StyleTitre2"/>
      </w:pPr>
      <w:bookmarkStart w:id="30" w:name="_Toc150262794"/>
      <w:bookmarkStart w:id="31" w:name="_Toc150262795"/>
      <w:bookmarkStart w:id="32" w:name="_Toc150262796"/>
      <w:bookmarkEnd w:id="30"/>
      <w:bookmarkEnd w:id="31"/>
      <w:bookmarkEnd w:id="32"/>
    </w:p>
    <w:p w14:paraId="0EE6AEB9" w14:textId="07371BCE" w:rsidR="00387C7E" w:rsidRDefault="00387C7E" w:rsidP="00E45597">
      <w:pPr>
        <w:pStyle w:val="OmniPage1"/>
        <w:ind w:right="-72"/>
        <w:jc w:val="both"/>
        <w:rPr>
          <w:sz w:val="16"/>
          <w:lang w:val="fr-FR"/>
        </w:rPr>
      </w:pPr>
      <w:r>
        <w:rPr>
          <w:sz w:val="16"/>
          <w:lang w:val="fr-FR"/>
        </w:rPr>
        <w:t xml:space="preserve">A tout moment et sans devoir indemniser </w:t>
      </w:r>
      <w:r w:rsidR="00122E66">
        <w:rPr>
          <w:sz w:val="16"/>
          <w:lang w:val="fr-FR"/>
        </w:rPr>
        <w:t xml:space="preserve">le </w:t>
      </w:r>
      <w:r w:rsidR="00122E66" w:rsidRPr="00665231">
        <w:rPr>
          <w:sz w:val="16"/>
          <w:lang w:val="fr-FR"/>
        </w:rPr>
        <w:t>Client</w:t>
      </w:r>
      <w:r>
        <w:rPr>
          <w:sz w:val="16"/>
          <w:lang w:val="fr-FR"/>
        </w:rPr>
        <w:t xml:space="preserve">, </w:t>
      </w:r>
      <w:r w:rsidR="00873672">
        <w:rPr>
          <w:sz w:val="16"/>
          <w:lang w:val="fr-FR"/>
        </w:rPr>
        <w:t xml:space="preserve">le </w:t>
      </w:r>
      <w:r w:rsidR="00873672" w:rsidRPr="00CE0227">
        <w:rPr>
          <w:sz w:val="16"/>
          <w:lang w:val="fr-FR"/>
        </w:rPr>
        <w:t>Fournisseur</w:t>
      </w:r>
      <w:r w:rsidR="00873672" w:rsidDel="00873672">
        <w:rPr>
          <w:sz w:val="16"/>
          <w:lang w:val="fr-FR"/>
        </w:rPr>
        <w:t xml:space="preserve"> </w:t>
      </w:r>
      <w:r>
        <w:rPr>
          <w:sz w:val="16"/>
          <w:lang w:val="fr-FR"/>
        </w:rPr>
        <w:t xml:space="preserve">pourra modifier le Réseau (i) pour respecter un ordre, une instruction ou une exigence </w:t>
      </w:r>
      <w:r w:rsidR="0084003C" w:rsidRPr="00DF2C2D">
        <w:rPr>
          <w:sz w:val="16"/>
          <w:lang w:val="fr-FR"/>
        </w:rPr>
        <w:t>dûment justifiés</w:t>
      </w:r>
      <w:r w:rsidR="0084003C">
        <w:rPr>
          <w:sz w:val="16"/>
          <w:lang w:val="fr-FR"/>
        </w:rPr>
        <w:t xml:space="preserve"> </w:t>
      </w:r>
      <w:r>
        <w:rPr>
          <w:sz w:val="16"/>
          <w:lang w:val="fr-FR"/>
        </w:rPr>
        <w:t>du Gouvernement</w:t>
      </w:r>
      <w:r w:rsidR="00BC4301">
        <w:rPr>
          <w:sz w:val="16"/>
          <w:lang w:val="fr-FR"/>
        </w:rPr>
        <w:t xml:space="preserve">, de la Collectivité Locale Délégante, </w:t>
      </w:r>
      <w:r>
        <w:rPr>
          <w:sz w:val="16"/>
          <w:lang w:val="fr-FR"/>
        </w:rPr>
        <w:t>d'une autorité de régulation, ou de toute autorité administrative compétente, ou (ii) si la modification n'affecte pas les niveaux de Service.</w:t>
      </w:r>
    </w:p>
    <w:p w14:paraId="42C99E30" w14:textId="77777777" w:rsidR="00E45597" w:rsidRDefault="00E45597" w:rsidP="00E45597">
      <w:pPr>
        <w:pStyle w:val="OmniPage1"/>
        <w:ind w:right="-72"/>
        <w:jc w:val="both"/>
        <w:rPr>
          <w:sz w:val="16"/>
          <w:lang w:val="fr-FR"/>
        </w:rPr>
      </w:pPr>
    </w:p>
    <w:p w14:paraId="4BC66D01" w14:textId="77777777" w:rsidR="00387C7E" w:rsidRDefault="00387C7E" w:rsidP="00E45597">
      <w:pPr>
        <w:pStyle w:val="OmniPage1"/>
        <w:ind w:right="-72"/>
        <w:jc w:val="both"/>
        <w:rPr>
          <w:sz w:val="16"/>
          <w:lang w:val="fr-FR"/>
        </w:rPr>
      </w:pPr>
      <w:r>
        <w:rPr>
          <w:sz w:val="16"/>
          <w:lang w:val="fr-FR"/>
        </w:rPr>
        <w:t>En cas de réalisation d'une hypothèse prévue en (i) ci</w:t>
      </w:r>
      <w:r>
        <w:rPr>
          <w:sz w:val="16"/>
          <w:lang w:val="fr-FR"/>
        </w:rPr>
        <w:noBreakHyphen/>
        <w:t xml:space="preserve">avant, </w:t>
      </w:r>
      <w:r w:rsidR="00873672">
        <w:rPr>
          <w:sz w:val="16"/>
          <w:lang w:val="fr-FR"/>
        </w:rPr>
        <w:t xml:space="preserve">le </w:t>
      </w:r>
      <w:r w:rsidR="00873672" w:rsidRPr="00CE0227">
        <w:rPr>
          <w:sz w:val="16"/>
          <w:lang w:val="fr-FR"/>
        </w:rPr>
        <w:t>Fournisseur</w:t>
      </w:r>
      <w:r>
        <w:rPr>
          <w:sz w:val="16"/>
          <w:lang w:val="fr-FR"/>
        </w:rPr>
        <w:t xml:space="preserve"> informera </w:t>
      </w:r>
      <w:r w:rsidR="00122E66">
        <w:rPr>
          <w:sz w:val="16"/>
          <w:lang w:val="fr-FR"/>
        </w:rPr>
        <w:t xml:space="preserve">le </w:t>
      </w:r>
      <w:r w:rsidR="00122E66" w:rsidRPr="00665231">
        <w:rPr>
          <w:sz w:val="16"/>
          <w:lang w:val="fr-FR"/>
        </w:rPr>
        <w:t>Client</w:t>
      </w:r>
      <w:r w:rsidR="00122E66">
        <w:rPr>
          <w:sz w:val="16"/>
          <w:lang w:val="fr-FR"/>
        </w:rPr>
        <w:t xml:space="preserve"> </w:t>
      </w:r>
      <w:r>
        <w:rPr>
          <w:sz w:val="16"/>
          <w:lang w:val="fr-FR"/>
        </w:rPr>
        <w:t>aussi rapidement que possible s'il a besoin de suspendre la fourniture du Service</w:t>
      </w:r>
      <w:r w:rsidR="00CD5231">
        <w:rPr>
          <w:sz w:val="16"/>
          <w:lang w:val="fr-FR"/>
        </w:rPr>
        <w:t xml:space="preserve">, et </w:t>
      </w:r>
      <w:r w:rsidR="00CD5231" w:rsidRPr="00CD5231">
        <w:rPr>
          <w:sz w:val="16"/>
          <w:lang w:val="fr-FR"/>
        </w:rPr>
        <w:t xml:space="preserve">les Parties se rapprocheront pour envisager la mise en place d’une solution de </w:t>
      </w:r>
      <w:r w:rsidR="00DF2A3D">
        <w:rPr>
          <w:sz w:val="16"/>
          <w:lang w:val="fr-FR"/>
        </w:rPr>
        <w:t>remplacement</w:t>
      </w:r>
      <w:r>
        <w:rPr>
          <w:sz w:val="16"/>
          <w:lang w:val="fr-FR"/>
        </w:rPr>
        <w:t xml:space="preserve">. </w:t>
      </w:r>
      <w:r>
        <w:rPr>
          <w:sz w:val="16"/>
          <w:lang w:val="fr-FR"/>
        </w:rPr>
        <w:tab/>
      </w:r>
    </w:p>
    <w:p w14:paraId="1650A9D7" w14:textId="77777777" w:rsidR="00387C7E" w:rsidRDefault="00387C7E" w:rsidP="00E45597">
      <w:pPr>
        <w:pStyle w:val="OmniPage1"/>
        <w:ind w:right="-72"/>
        <w:jc w:val="both"/>
        <w:rPr>
          <w:sz w:val="16"/>
          <w:lang w:val="fr-FR"/>
        </w:rPr>
      </w:pPr>
    </w:p>
    <w:p w14:paraId="2F9054DA" w14:textId="77777777" w:rsidR="00CE5237" w:rsidRDefault="00CE5237" w:rsidP="00E45597">
      <w:pPr>
        <w:pStyle w:val="StyleTitre2"/>
        <w:ind w:right="-72"/>
      </w:pPr>
      <w:bookmarkStart w:id="33" w:name="_Toc150262797"/>
      <w:bookmarkEnd w:id="33"/>
    </w:p>
    <w:p w14:paraId="4F140E6E" w14:textId="77777777" w:rsidR="003D0F20" w:rsidRDefault="00387C7E">
      <w:pPr>
        <w:pStyle w:val="OmniPage1"/>
        <w:ind w:right="-72"/>
        <w:jc w:val="both"/>
        <w:rPr>
          <w:sz w:val="16"/>
          <w:lang w:val="fr-FR"/>
        </w:rPr>
      </w:pPr>
      <w:r>
        <w:rPr>
          <w:sz w:val="16"/>
          <w:lang w:val="fr-FR"/>
        </w:rPr>
        <w:t>Les Parties s'engagent à respecter et à faire respecter à toute personne sous leur contrôle, toutes dispositions légales ou toutes décisions des autorités réglementaires compétentes susceptibles de s'appliquer aux présentes, et notamment la loi du 10 juillet 1991 en matière de secret et de neutralité des correspondances émises par voie des télécommunications, et la réglementation applicable au traitement des données à caractère personnel.</w:t>
      </w:r>
    </w:p>
    <w:p w14:paraId="4F7A66A1" w14:textId="77777777" w:rsidR="003D0F20" w:rsidRDefault="003D0F20">
      <w:pPr>
        <w:pStyle w:val="OmniPage1"/>
        <w:ind w:right="-72"/>
        <w:jc w:val="both"/>
        <w:rPr>
          <w:sz w:val="16"/>
          <w:lang w:val="fr-FR"/>
        </w:rPr>
      </w:pPr>
    </w:p>
    <w:p w14:paraId="25C01212" w14:textId="204393D3" w:rsidR="00387C7E" w:rsidRDefault="004000C0">
      <w:pPr>
        <w:pStyle w:val="OmniPage1"/>
        <w:tabs>
          <w:tab w:val="left" w:pos="125"/>
          <w:tab w:val="right" w:pos="10286"/>
        </w:tabs>
        <w:ind w:right="45"/>
        <w:jc w:val="both"/>
        <w:rPr>
          <w:sz w:val="16"/>
          <w:lang w:val="fr-FR"/>
        </w:rPr>
      </w:pPr>
      <w:r w:rsidRPr="004000C0">
        <w:rPr>
          <w:sz w:val="16"/>
          <w:lang w:val="fr-FR"/>
        </w:rPr>
        <w:t xml:space="preserve">Le Client étant propriétaire et gestionnaire des adresses IP attribuées aux </w:t>
      </w:r>
      <w:r w:rsidR="00E45597">
        <w:rPr>
          <w:sz w:val="16"/>
          <w:lang w:val="fr-FR"/>
        </w:rPr>
        <w:t xml:space="preserve">Utilisateurs </w:t>
      </w:r>
      <w:r w:rsidR="000F64CF">
        <w:rPr>
          <w:sz w:val="16"/>
          <w:lang w:val="fr-FR"/>
        </w:rPr>
        <w:t>Fina</w:t>
      </w:r>
      <w:r w:rsidR="001B44E9">
        <w:rPr>
          <w:sz w:val="16"/>
          <w:lang w:val="fr-FR"/>
        </w:rPr>
        <w:t>ux</w:t>
      </w:r>
      <w:r w:rsidRPr="004000C0">
        <w:rPr>
          <w:sz w:val="16"/>
          <w:lang w:val="fr-FR"/>
        </w:rPr>
        <w:t>,</w:t>
      </w:r>
      <w:r w:rsidR="003F75C7">
        <w:rPr>
          <w:sz w:val="16"/>
          <w:lang w:val="fr-FR"/>
        </w:rPr>
        <w:t xml:space="preserve"> </w:t>
      </w:r>
      <w:r w:rsidR="00FF6A57">
        <w:rPr>
          <w:sz w:val="16"/>
          <w:lang w:val="fr-FR"/>
        </w:rPr>
        <w:t xml:space="preserve">il </w:t>
      </w:r>
      <w:r w:rsidR="003F75C7">
        <w:rPr>
          <w:sz w:val="16"/>
          <w:lang w:val="fr-FR"/>
        </w:rPr>
        <w:t>fera son affaire de toutes demandes d’informations, réclamations ou responsabilités afférent à l’utilisation des adresses IP.</w:t>
      </w:r>
    </w:p>
    <w:p w14:paraId="5481FF60" w14:textId="77777777" w:rsidR="004000C0" w:rsidRPr="004000C0" w:rsidRDefault="004000C0">
      <w:pPr>
        <w:pStyle w:val="OmniPage1"/>
        <w:tabs>
          <w:tab w:val="left" w:pos="125"/>
          <w:tab w:val="right" w:pos="10286"/>
        </w:tabs>
        <w:ind w:right="45"/>
        <w:jc w:val="both"/>
        <w:rPr>
          <w:sz w:val="16"/>
          <w:lang w:val="fr-FR"/>
        </w:rPr>
      </w:pPr>
    </w:p>
    <w:p w14:paraId="1A2EE09E" w14:textId="77777777" w:rsidR="00CE5237" w:rsidRDefault="00CE5237" w:rsidP="00CE5237">
      <w:pPr>
        <w:pStyle w:val="StyleTitre2"/>
      </w:pPr>
      <w:bookmarkStart w:id="34" w:name="_Toc150262799"/>
      <w:bookmarkStart w:id="35" w:name="_Toc150262800"/>
      <w:bookmarkEnd w:id="34"/>
      <w:bookmarkEnd w:id="35"/>
    </w:p>
    <w:p w14:paraId="136BBF9A" w14:textId="77777777" w:rsidR="00387C7E" w:rsidRDefault="00341AC4">
      <w:pPr>
        <w:pStyle w:val="OmniPage1"/>
        <w:ind w:right="60"/>
        <w:jc w:val="both"/>
        <w:rPr>
          <w:sz w:val="16"/>
          <w:lang w:val="fr-FR"/>
        </w:rPr>
      </w:pPr>
      <w:r>
        <w:rPr>
          <w:sz w:val="16"/>
          <w:lang w:val="fr-FR"/>
        </w:rPr>
        <w:t>Le Client</w:t>
      </w:r>
      <w:r w:rsidR="00387C7E">
        <w:rPr>
          <w:sz w:val="16"/>
          <w:lang w:val="fr-FR"/>
        </w:rPr>
        <w:t xml:space="preserve"> déclare souscrire le Service en relation directe avec son activité professionnelle et commercialiser, auprès de ses propres clients finaux, une prestation de service qui lui est propre. Il </w:t>
      </w:r>
      <w:r w:rsidR="00712F00">
        <w:rPr>
          <w:sz w:val="16"/>
          <w:lang w:val="fr-FR"/>
        </w:rPr>
        <w:t>fera son affaire</w:t>
      </w:r>
      <w:r w:rsidR="00387C7E">
        <w:rPr>
          <w:sz w:val="16"/>
          <w:lang w:val="fr-FR"/>
        </w:rPr>
        <w:t xml:space="preserve"> de l'utilisation du Service et des </w:t>
      </w:r>
      <w:r w:rsidR="00E45597">
        <w:rPr>
          <w:sz w:val="16"/>
          <w:lang w:val="fr-FR"/>
        </w:rPr>
        <w:t xml:space="preserve">Utilisateurs </w:t>
      </w:r>
      <w:r w:rsidR="00387C7E">
        <w:rPr>
          <w:sz w:val="16"/>
          <w:lang w:val="fr-FR"/>
        </w:rPr>
        <w:t>Finaux.</w:t>
      </w:r>
    </w:p>
    <w:p w14:paraId="27A2453F" w14:textId="77777777" w:rsidR="00387C7E" w:rsidRDefault="00387C7E">
      <w:pPr>
        <w:pStyle w:val="OmniPage1"/>
        <w:ind w:right="45"/>
        <w:jc w:val="both"/>
        <w:rPr>
          <w:sz w:val="16"/>
          <w:lang w:val="fr-FR"/>
        </w:rPr>
      </w:pPr>
    </w:p>
    <w:p w14:paraId="1747549C" w14:textId="77777777" w:rsidR="00387C7E" w:rsidRDefault="00A81260">
      <w:pPr>
        <w:pStyle w:val="OmniPage1"/>
        <w:ind w:right="45"/>
        <w:jc w:val="both"/>
        <w:rPr>
          <w:sz w:val="16"/>
          <w:lang w:val="fr-FR"/>
        </w:rPr>
      </w:pPr>
      <w:r>
        <w:rPr>
          <w:sz w:val="16"/>
          <w:lang w:val="fr-FR"/>
        </w:rPr>
        <w:t>L</w:t>
      </w:r>
      <w:r w:rsidR="00341AC4">
        <w:rPr>
          <w:sz w:val="16"/>
          <w:lang w:val="fr-FR"/>
        </w:rPr>
        <w:t>e Client</w:t>
      </w:r>
      <w:r w:rsidR="00387C7E">
        <w:rPr>
          <w:sz w:val="16"/>
          <w:lang w:val="fr-FR"/>
        </w:rPr>
        <w:t xml:space="preserve"> reconnaît en conséquence qu'il reçoit et prend directement à sa charge toute action ou réclamation émanant des </w:t>
      </w:r>
      <w:r w:rsidR="00E45597">
        <w:rPr>
          <w:sz w:val="16"/>
          <w:lang w:val="fr-FR"/>
        </w:rPr>
        <w:t xml:space="preserve">Utilisateurs </w:t>
      </w:r>
      <w:r w:rsidR="00387C7E">
        <w:rPr>
          <w:sz w:val="16"/>
          <w:lang w:val="fr-FR"/>
        </w:rPr>
        <w:t>Finaux, considérés comme des tiers aux Commandes.</w:t>
      </w:r>
    </w:p>
    <w:bookmarkEnd w:id="1"/>
    <w:p w14:paraId="0641399E" w14:textId="77777777" w:rsidR="00DE45C3" w:rsidRDefault="00DE45C3" w:rsidP="00B046EB">
      <w:pPr>
        <w:pStyle w:val="OmniPage1"/>
        <w:ind w:right="45"/>
        <w:jc w:val="both"/>
        <w:rPr>
          <w:sz w:val="16"/>
          <w:lang w:val="fr-FR"/>
        </w:rPr>
      </w:pPr>
    </w:p>
    <w:p w14:paraId="57C765BB" w14:textId="77777777" w:rsidR="001176D9" w:rsidRPr="00B046EB" w:rsidRDefault="001176D9" w:rsidP="00B046EB">
      <w:pPr>
        <w:pStyle w:val="OmniPage1"/>
        <w:ind w:right="45"/>
        <w:jc w:val="both"/>
        <w:rPr>
          <w:sz w:val="16"/>
          <w:lang w:val="fr-FR"/>
        </w:rPr>
      </w:pPr>
    </w:p>
    <w:p w14:paraId="233792F9" w14:textId="77777777" w:rsidR="00144295" w:rsidRDefault="00144295" w:rsidP="00144295">
      <w:pPr>
        <w:rPr>
          <w:lang w:eastAsia="en-US"/>
        </w:rPr>
      </w:pPr>
      <w:r w:rsidRPr="00144295">
        <w:rPr>
          <w:lang w:eastAsia="en-US"/>
        </w:rPr>
        <w:t>Fait</w:t>
      </w:r>
      <w:r w:rsidR="00E3638F">
        <w:rPr>
          <w:lang w:eastAsia="en-US"/>
        </w:rPr>
        <w:t xml:space="preserve"> </w:t>
      </w:r>
      <w:r w:rsidR="00462A31">
        <w:rPr>
          <w:lang w:eastAsia="en-US"/>
        </w:rPr>
        <w:t xml:space="preserve">A                                      </w:t>
      </w:r>
      <w:r w:rsidRPr="00144295">
        <w:rPr>
          <w:lang w:eastAsia="en-US"/>
        </w:rPr>
        <w:t xml:space="preserve">le </w:t>
      </w:r>
    </w:p>
    <w:p w14:paraId="260E1B92" w14:textId="77777777" w:rsidR="00144295" w:rsidRPr="00144295" w:rsidRDefault="00144295" w:rsidP="00144295">
      <w:pPr>
        <w:rPr>
          <w:lang w:eastAsia="en-US"/>
        </w:rPr>
      </w:pPr>
    </w:p>
    <w:p w14:paraId="7B72B76F" w14:textId="14CAB4AB" w:rsidR="00DE45C3" w:rsidRPr="00B12F40" w:rsidRDefault="0048644F">
      <w:pPr>
        <w:rPr>
          <w:rFonts w:ascii="Arial" w:hAnsi="Arial" w:cs="Arial"/>
          <w:sz w:val="20"/>
        </w:rPr>
      </w:pPr>
      <w:proofErr w:type="gramStart"/>
      <w:r w:rsidRPr="0048644F">
        <w:t>en</w:t>
      </w:r>
      <w:proofErr w:type="gramEnd"/>
      <w:r w:rsidRPr="0048644F">
        <w:t xml:space="preserve"> deux exemplaires originaux,</w:t>
      </w:r>
    </w:p>
    <w:p w14:paraId="77A40BC5" w14:textId="77777777" w:rsidR="00DE45C3" w:rsidRDefault="00DE45C3"/>
    <w:p w14:paraId="72CDDC9E" w14:textId="342544BC" w:rsidR="00DE45C3" w:rsidRDefault="0048644F" w:rsidP="00B12F40">
      <w:r w:rsidRPr="0048644F">
        <w:t>Pour Axione</w:t>
      </w:r>
      <w:r w:rsidRPr="0048644F">
        <w:tab/>
      </w:r>
    </w:p>
    <w:p w14:paraId="5E958285" w14:textId="77777777" w:rsidR="00DE45C3" w:rsidRDefault="00DE45C3" w:rsidP="00B046EB">
      <w:pPr>
        <w:pStyle w:val="OmniPage1"/>
        <w:ind w:right="45"/>
        <w:jc w:val="both"/>
        <w:rPr>
          <w:sz w:val="16"/>
          <w:lang w:val="fr-FR"/>
        </w:rPr>
      </w:pPr>
    </w:p>
    <w:p w14:paraId="7AE25255" w14:textId="77777777" w:rsidR="00DE45C3" w:rsidRPr="00B046EB" w:rsidRDefault="00DE45C3" w:rsidP="00B046EB">
      <w:pPr>
        <w:pStyle w:val="OmniPage1"/>
        <w:ind w:right="45"/>
        <w:jc w:val="both"/>
        <w:rPr>
          <w:sz w:val="16"/>
          <w:lang w:val="fr-FR"/>
        </w:rPr>
      </w:pPr>
    </w:p>
    <w:p w14:paraId="7B6F07CC" w14:textId="3D5A0C6E" w:rsidR="00397306" w:rsidRDefault="0048644F" w:rsidP="008D0D10">
      <w:r w:rsidRPr="0048644F">
        <w:t>Pour</w:t>
      </w:r>
      <w:r w:rsidR="00DB282A">
        <w:t xml:space="preserve"> le Client</w:t>
      </w:r>
      <w:r w:rsidRPr="0048644F">
        <w:t xml:space="preserve"> </w:t>
      </w:r>
    </w:p>
    <w:p w14:paraId="53C58EF0" w14:textId="77777777" w:rsidR="00840305" w:rsidRDefault="00840305">
      <w:pPr>
        <w:sectPr w:rsidR="00840305" w:rsidSect="008A3251">
          <w:headerReference w:type="default" r:id="rId10"/>
          <w:footerReference w:type="default" r:id="rId11"/>
          <w:type w:val="continuous"/>
          <w:pgSz w:w="11906" w:h="16838"/>
          <w:pgMar w:top="284" w:right="567" w:bottom="567" w:left="567" w:header="720" w:footer="720" w:gutter="0"/>
          <w:cols w:num="2" w:space="709"/>
          <w:docGrid w:linePitch="360"/>
        </w:sectPr>
      </w:pPr>
    </w:p>
    <w:p w14:paraId="5D097483" w14:textId="77777777" w:rsidR="00840305" w:rsidRDefault="00840305"/>
    <w:sectPr w:rsidR="00840305" w:rsidSect="00840305">
      <w:type w:val="continuous"/>
      <w:pgSz w:w="11906" w:h="16838"/>
      <w:pgMar w:top="284" w:right="567" w:bottom="567" w:left="1134" w:header="720" w:footer="720" w:gutter="0"/>
      <w:cols w:space="709"/>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B78F27" w16cid:durableId="1DC7C602"/>
  <w16cid:commentId w16cid:paraId="2B3A00DE" w16cid:durableId="1DC7C636"/>
  <w16cid:commentId w16cid:paraId="09A43D9E" w16cid:durableId="1DC7C7A0"/>
  <w16cid:commentId w16cid:paraId="1C7CE56A" w16cid:durableId="1DC7C8FB"/>
  <w16cid:commentId w16cid:paraId="03915FB2" w16cid:durableId="1DC7C9E1"/>
  <w16cid:commentId w16cid:paraId="00526289" w16cid:durableId="1DC7CA3B"/>
  <w16cid:commentId w16cid:paraId="170594CB" w16cid:durableId="1DC7CA69"/>
  <w16cid:commentId w16cid:paraId="6650A4AE" w16cid:durableId="1DC7CA8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D36AC" w14:textId="77777777" w:rsidR="00441C94" w:rsidRDefault="00441C94">
      <w:r>
        <w:separator/>
      </w:r>
    </w:p>
  </w:endnote>
  <w:endnote w:type="continuationSeparator" w:id="0">
    <w:p w14:paraId="4C904149" w14:textId="77777777" w:rsidR="00441C94" w:rsidRDefault="00441C94">
      <w:r>
        <w:continuationSeparator/>
      </w:r>
    </w:p>
  </w:endnote>
  <w:endnote w:type="continuationNotice" w:id="1">
    <w:p w14:paraId="19F4C3D3" w14:textId="77777777" w:rsidR="00441C94" w:rsidRDefault="00441C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imes (PCL6)">
    <w:altName w:val="Times New Roman"/>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Neue">
    <w:altName w:val="Helvetica 55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08" w:type="dxa"/>
      <w:tblInd w:w="-4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788"/>
      <w:gridCol w:w="1120"/>
    </w:tblGrid>
    <w:tr w:rsidR="0056688E" w14:paraId="36D7EB88" w14:textId="77777777" w:rsidTr="00840305">
      <w:trPr>
        <w:trHeight w:val="344"/>
      </w:trPr>
      <w:tc>
        <w:tcPr>
          <w:tcW w:w="9788" w:type="dxa"/>
          <w:vAlign w:val="center"/>
        </w:tcPr>
        <w:p w14:paraId="1A1CFAB1" w14:textId="77777777" w:rsidR="0056688E" w:rsidRDefault="0056688E" w:rsidP="0097065A">
          <w:pPr>
            <w:pStyle w:val="Pieddepage"/>
            <w:tabs>
              <w:tab w:val="clear" w:pos="9072"/>
              <w:tab w:val="right" w:pos="10800"/>
            </w:tabs>
            <w:jc w:val="left"/>
          </w:pPr>
          <w:r>
            <w:t xml:space="preserve">ANNEXES à </w:t>
          </w:r>
          <w:smartTag w:uri="urn:schemas-microsoft-com:office:smarttags" w:element="PersonName">
            <w:smartTagPr>
              <w:attr w:name="ProductID" w:val="la Convention Cadre"/>
            </w:smartTagPr>
            <w:r>
              <w:t>la Convention Cadre</w:t>
            </w:r>
          </w:smartTag>
          <w:r>
            <w:t xml:space="preserve"> n° </w:t>
          </w:r>
        </w:p>
      </w:tc>
      <w:tc>
        <w:tcPr>
          <w:tcW w:w="1120" w:type="dxa"/>
          <w:vAlign w:val="center"/>
        </w:tcPr>
        <w:p w14:paraId="64CA1015" w14:textId="15F3C8B4" w:rsidR="0056688E" w:rsidRDefault="0056688E" w:rsidP="0097065A">
          <w:pPr>
            <w:pStyle w:val="Pieddepage"/>
            <w:tabs>
              <w:tab w:val="clear" w:pos="9072"/>
              <w:tab w:val="right" w:pos="10800"/>
            </w:tabs>
            <w:jc w:val="right"/>
          </w:pPr>
          <w:r>
            <w:t xml:space="preserve">page </w:t>
          </w:r>
          <w:r>
            <w:rPr>
              <w:rStyle w:val="Numrodepage"/>
            </w:rPr>
            <w:fldChar w:fldCharType="begin"/>
          </w:r>
          <w:r>
            <w:rPr>
              <w:rStyle w:val="Numrodepage"/>
            </w:rPr>
            <w:instrText xml:space="preserve"> PAGE </w:instrText>
          </w:r>
          <w:r>
            <w:rPr>
              <w:rStyle w:val="Numrodepage"/>
            </w:rPr>
            <w:fldChar w:fldCharType="separate"/>
          </w:r>
          <w:r w:rsidR="007C7246">
            <w:rPr>
              <w:rStyle w:val="Numrodepage"/>
              <w:noProof/>
            </w:rPr>
            <w:t>4</w:t>
          </w:r>
          <w:r>
            <w:rPr>
              <w:rStyle w:val="Numrodepage"/>
            </w:rPr>
            <w:fldChar w:fldCharType="end"/>
          </w:r>
          <w:r>
            <w:rPr>
              <w:rStyle w:val="Numrodepage"/>
            </w:rPr>
            <w:t xml:space="preserve"> /</w:t>
          </w:r>
          <w:r>
            <w:rPr>
              <w:rStyle w:val="Numrodepage"/>
            </w:rPr>
            <w:fldChar w:fldCharType="begin"/>
          </w:r>
          <w:r>
            <w:rPr>
              <w:rStyle w:val="Numrodepage"/>
            </w:rPr>
            <w:instrText xml:space="preserve"> NUMPAGES </w:instrText>
          </w:r>
          <w:r>
            <w:rPr>
              <w:rStyle w:val="Numrodepage"/>
            </w:rPr>
            <w:fldChar w:fldCharType="separate"/>
          </w:r>
          <w:r w:rsidR="007C7246">
            <w:rPr>
              <w:rStyle w:val="Numrodepage"/>
              <w:noProof/>
            </w:rPr>
            <w:t>9</w:t>
          </w:r>
          <w:r>
            <w:rPr>
              <w:rStyle w:val="Numrodepage"/>
            </w:rPr>
            <w:fldChar w:fldCharType="end"/>
          </w:r>
        </w:p>
      </w:tc>
    </w:tr>
  </w:tbl>
  <w:p w14:paraId="14737FCC" w14:textId="77777777" w:rsidR="0056688E" w:rsidRDefault="0056688E" w:rsidP="00CD60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DB65D" w14:textId="77777777" w:rsidR="00441C94" w:rsidRDefault="00441C94">
      <w:r>
        <w:separator/>
      </w:r>
    </w:p>
  </w:footnote>
  <w:footnote w:type="continuationSeparator" w:id="0">
    <w:p w14:paraId="29776C15" w14:textId="77777777" w:rsidR="00441C94" w:rsidRDefault="00441C94">
      <w:r>
        <w:continuationSeparator/>
      </w:r>
    </w:p>
  </w:footnote>
  <w:footnote w:type="continuationNotice" w:id="1">
    <w:p w14:paraId="18F2AE30" w14:textId="77777777" w:rsidR="00441C94" w:rsidRDefault="00441C9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88" w:type="dxa"/>
      <w:tblInd w:w="-459" w:type="dxa"/>
      <w:tblBorders>
        <w:bottom w:val="single" w:sz="4" w:space="0" w:color="808080"/>
      </w:tblBorders>
      <w:tblLayout w:type="fixed"/>
      <w:tblLook w:val="01E0" w:firstRow="1" w:lastRow="1" w:firstColumn="1" w:lastColumn="1" w:noHBand="0" w:noVBand="0"/>
    </w:tblPr>
    <w:tblGrid>
      <w:gridCol w:w="5628"/>
      <w:gridCol w:w="5360"/>
    </w:tblGrid>
    <w:tr w:rsidR="0056688E" w14:paraId="2372ADFB" w14:textId="77777777" w:rsidTr="00840305">
      <w:trPr>
        <w:trHeight w:val="723"/>
      </w:trPr>
      <w:tc>
        <w:tcPr>
          <w:tcW w:w="5628" w:type="dxa"/>
        </w:tcPr>
        <w:p w14:paraId="2E72FB95" w14:textId="77777777" w:rsidR="0056688E" w:rsidRDefault="0056688E" w:rsidP="0097065A">
          <w:pPr>
            <w:pStyle w:val="En-tte"/>
            <w:jc w:val="left"/>
          </w:pPr>
        </w:p>
        <w:tbl>
          <w:tblPr>
            <w:tblW w:w="0" w:type="auto"/>
            <w:tblLayout w:type="fixed"/>
            <w:tblLook w:val="01E0" w:firstRow="1" w:lastRow="1" w:firstColumn="1" w:lastColumn="1" w:noHBand="0" w:noVBand="0"/>
          </w:tblPr>
          <w:tblGrid>
            <w:gridCol w:w="2698"/>
            <w:gridCol w:w="2699"/>
          </w:tblGrid>
          <w:tr w:rsidR="0056688E" w14:paraId="0FC60907" w14:textId="77777777" w:rsidTr="0097065A">
            <w:tc>
              <w:tcPr>
                <w:tcW w:w="2698" w:type="dxa"/>
              </w:tcPr>
              <w:p w14:paraId="0C2A5E8B" w14:textId="77777777" w:rsidR="0056688E" w:rsidRDefault="0056688E" w:rsidP="0097065A">
                <w:pPr>
                  <w:pStyle w:val="En-tte"/>
                  <w:jc w:val="left"/>
                </w:pPr>
                <w:r>
                  <w:rPr>
                    <w:noProof/>
                    <w:snapToGrid/>
                  </w:rPr>
                  <w:drawing>
                    <wp:inline distT="0" distB="0" distL="0" distR="0" wp14:anchorId="16A2DF42" wp14:editId="015B9BF4">
                      <wp:extent cx="1526540" cy="309880"/>
                      <wp:effectExtent l="19050" t="0" r="0" b="0"/>
                      <wp:docPr id="2" name="Image 2" descr="axi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xione"/>
                              <pic:cNvPicPr>
                                <a:picLocks noChangeAspect="1" noChangeArrowheads="1"/>
                              </pic:cNvPicPr>
                            </pic:nvPicPr>
                            <pic:blipFill>
                              <a:blip r:embed="rId1"/>
                              <a:srcRect/>
                              <a:stretch>
                                <a:fillRect/>
                              </a:stretch>
                            </pic:blipFill>
                            <pic:spPr bwMode="auto">
                              <a:xfrm>
                                <a:off x="0" y="0"/>
                                <a:ext cx="1526540" cy="309880"/>
                              </a:xfrm>
                              <a:prstGeom prst="rect">
                                <a:avLst/>
                              </a:prstGeom>
                              <a:noFill/>
                              <a:ln w="9525">
                                <a:noFill/>
                                <a:miter lim="800000"/>
                                <a:headEnd/>
                                <a:tailEnd/>
                              </a:ln>
                            </pic:spPr>
                          </pic:pic>
                        </a:graphicData>
                      </a:graphic>
                    </wp:inline>
                  </w:drawing>
                </w:r>
              </w:p>
              <w:p w14:paraId="5079C50D" w14:textId="77777777" w:rsidR="0056688E" w:rsidRDefault="0056688E" w:rsidP="0097065A">
                <w:pPr>
                  <w:pStyle w:val="En-tte"/>
                  <w:jc w:val="left"/>
                </w:pPr>
              </w:p>
              <w:p w14:paraId="6A89534B" w14:textId="77777777" w:rsidR="0056688E" w:rsidRPr="0097065A" w:rsidRDefault="0056688E" w:rsidP="0097065A">
                <w:pPr>
                  <w:pStyle w:val="En-tte"/>
                  <w:jc w:val="left"/>
                  <w:rPr>
                    <w:sz w:val="20"/>
                  </w:rPr>
                </w:pPr>
                <w:r w:rsidRPr="0097065A">
                  <w:rPr>
                    <w:sz w:val="20"/>
                  </w:rPr>
                  <w:t>www.axione.fr</w:t>
                </w:r>
              </w:p>
            </w:tc>
            <w:tc>
              <w:tcPr>
                <w:tcW w:w="2699" w:type="dxa"/>
              </w:tcPr>
              <w:p w14:paraId="314D60B4" w14:textId="77777777" w:rsidR="0056688E" w:rsidRPr="0097065A" w:rsidRDefault="0056688E" w:rsidP="0097065A">
                <w:pPr>
                  <w:pStyle w:val="En-tte"/>
                  <w:jc w:val="left"/>
                  <w:rPr>
                    <w:sz w:val="16"/>
                    <w:szCs w:val="16"/>
                  </w:rPr>
                </w:pPr>
                <w:r w:rsidRPr="0097065A">
                  <w:rPr>
                    <w:sz w:val="16"/>
                    <w:szCs w:val="16"/>
                  </w:rPr>
                  <w:t>130-132 boulevard Camélinat</w:t>
                </w:r>
              </w:p>
              <w:p w14:paraId="0083A7EB" w14:textId="77777777" w:rsidR="0056688E" w:rsidRPr="0097065A" w:rsidRDefault="0056688E" w:rsidP="0097065A">
                <w:pPr>
                  <w:pStyle w:val="En-tte"/>
                  <w:jc w:val="left"/>
                  <w:rPr>
                    <w:sz w:val="16"/>
                    <w:szCs w:val="16"/>
                  </w:rPr>
                </w:pPr>
                <w:r w:rsidRPr="0097065A">
                  <w:rPr>
                    <w:sz w:val="16"/>
                    <w:szCs w:val="16"/>
                  </w:rPr>
                  <w:t>92240 MALAKOFF</w:t>
                </w:r>
              </w:p>
              <w:p w14:paraId="55CDA3A2" w14:textId="77777777" w:rsidR="0056688E" w:rsidRPr="0097065A" w:rsidRDefault="0056688E" w:rsidP="0097065A">
                <w:pPr>
                  <w:pStyle w:val="En-tte"/>
                  <w:jc w:val="left"/>
                  <w:rPr>
                    <w:sz w:val="16"/>
                    <w:szCs w:val="16"/>
                  </w:rPr>
                </w:pPr>
                <w:r w:rsidRPr="0097065A">
                  <w:rPr>
                    <w:sz w:val="16"/>
                    <w:szCs w:val="16"/>
                  </w:rPr>
                  <w:t>Tel 01 72 33 93 00</w:t>
                </w:r>
              </w:p>
              <w:p w14:paraId="4D0B5FB5" w14:textId="77777777" w:rsidR="0056688E" w:rsidRPr="0097065A" w:rsidRDefault="0056688E" w:rsidP="0097065A">
                <w:pPr>
                  <w:pStyle w:val="En-tte"/>
                  <w:jc w:val="left"/>
                  <w:rPr>
                    <w:sz w:val="16"/>
                    <w:szCs w:val="16"/>
                  </w:rPr>
                </w:pPr>
                <w:r w:rsidRPr="0097065A">
                  <w:rPr>
                    <w:sz w:val="16"/>
                    <w:szCs w:val="16"/>
                  </w:rPr>
                  <w:t>Fax 01 46 54 04 78</w:t>
                </w:r>
              </w:p>
              <w:p w14:paraId="48639099" w14:textId="77777777" w:rsidR="0056688E" w:rsidRPr="0097065A" w:rsidRDefault="0056688E" w:rsidP="0097065A">
                <w:pPr>
                  <w:pStyle w:val="En-tte"/>
                  <w:jc w:val="left"/>
                  <w:rPr>
                    <w:sz w:val="16"/>
                    <w:szCs w:val="16"/>
                  </w:rPr>
                </w:pPr>
                <w:r w:rsidRPr="0097065A">
                  <w:rPr>
                    <w:sz w:val="16"/>
                    <w:szCs w:val="16"/>
                  </w:rPr>
                  <w:t xml:space="preserve">R.C.S. NANTERRE B 449 586 544 </w:t>
                </w:r>
              </w:p>
              <w:p w14:paraId="2EAF225D" w14:textId="77777777" w:rsidR="0056688E" w:rsidRDefault="0056688E" w:rsidP="0097065A">
                <w:pPr>
                  <w:pStyle w:val="En-tte"/>
                  <w:jc w:val="left"/>
                </w:pPr>
              </w:p>
            </w:tc>
          </w:tr>
        </w:tbl>
        <w:p w14:paraId="3B5510B5" w14:textId="77777777" w:rsidR="0056688E" w:rsidRPr="004E6C63" w:rsidRDefault="0056688E" w:rsidP="0097065A">
          <w:pPr>
            <w:pStyle w:val="En-tte"/>
            <w:jc w:val="left"/>
          </w:pPr>
        </w:p>
      </w:tc>
      <w:tc>
        <w:tcPr>
          <w:tcW w:w="5360" w:type="dxa"/>
          <w:vAlign w:val="center"/>
        </w:tcPr>
        <w:p w14:paraId="496ECE50" w14:textId="77777777" w:rsidR="0056688E" w:rsidRPr="0097065A" w:rsidRDefault="0056688E" w:rsidP="0097065A">
          <w:pPr>
            <w:jc w:val="right"/>
            <w:rPr>
              <w:b/>
              <w:bCs/>
              <w:sz w:val="24"/>
              <w:szCs w:val="24"/>
            </w:rPr>
          </w:pPr>
          <w:r w:rsidRPr="0097065A">
            <w:rPr>
              <w:b/>
              <w:bCs/>
              <w:sz w:val="24"/>
              <w:szCs w:val="24"/>
            </w:rPr>
            <w:t>CONDITIONS PARTICULIERES</w:t>
          </w:r>
        </w:p>
        <w:p w14:paraId="3AEDB5BE" w14:textId="2AED4610" w:rsidR="0056688E" w:rsidRPr="0097065A" w:rsidRDefault="0056688E" w:rsidP="0097065A">
          <w:pPr>
            <w:jc w:val="right"/>
            <w:rPr>
              <w:b/>
              <w:bCs/>
              <w:sz w:val="24"/>
              <w:szCs w:val="24"/>
              <w:bdr w:val="single" w:sz="4" w:space="0" w:color="auto"/>
            </w:rPr>
          </w:pPr>
          <w:r w:rsidRPr="0097065A">
            <w:rPr>
              <w:b/>
              <w:bCs/>
              <w:sz w:val="24"/>
              <w:szCs w:val="24"/>
            </w:rPr>
            <w:t>DU SERVICE LIGNE FTTH</w:t>
          </w:r>
          <w:r>
            <w:rPr>
              <w:b/>
              <w:bCs/>
              <w:sz w:val="24"/>
              <w:szCs w:val="24"/>
            </w:rPr>
            <w:t xml:space="preserve"> ACTIVE</w:t>
          </w:r>
        </w:p>
        <w:p w14:paraId="4C621C54" w14:textId="77777777" w:rsidR="0056688E" w:rsidRPr="0097065A" w:rsidRDefault="0056688E" w:rsidP="0097065A">
          <w:pPr>
            <w:jc w:val="right"/>
            <w:rPr>
              <w:b/>
              <w:bCs/>
            </w:rPr>
          </w:pPr>
        </w:p>
        <w:p w14:paraId="6AE5A857" w14:textId="14071213" w:rsidR="0056688E" w:rsidRPr="0097065A" w:rsidRDefault="0056688E" w:rsidP="0097065A">
          <w:pPr>
            <w:jc w:val="right"/>
            <w:rPr>
              <w:bdr w:val="single" w:sz="4" w:space="0" w:color="auto"/>
            </w:rPr>
          </w:pPr>
          <w:r w:rsidRPr="00806789">
            <w:t xml:space="preserve">version </w:t>
          </w:r>
          <w:r>
            <w:t>20.01</w:t>
          </w:r>
        </w:p>
        <w:p w14:paraId="07780C0B" w14:textId="77777777" w:rsidR="0056688E" w:rsidRDefault="0056688E" w:rsidP="00DD40E1">
          <w:pPr>
            <w:pStyle w:val="En-tte"/>
          </w:pPr>
        </w:p>
      </w:tc>
    </w:tr>
  </w:tbl>
  <w:p w14:paraId="01894191" w14:textId="77777777" w:rsidR="0056688E" w:rsidRDefault="0056688E" w:rsidP="00F25DA0">
    <w:pPr>
      <w:pStyle w:val="En-tte"/>
      <w:ind w:left="-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E23835F6"/>
    <w:lvl w:ilvl="0">
      <w:start w:val="1"/>
      <w:numFmt w:val="bullet"/>
      <w:pStyle w:val="Titre7h7"/>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07CE702"/>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0000404"/>
    <w:multiLevelType w:val="multilevel"/>
    <w:tmpl w:val="00000887"/>
    <w:lvl w:ilvl="0">
      <w:numFmt w:val="bullet"/>
      <w:lvlText w:val="-"/>
      <w:lvlJc w:val="left"/>
      <w:pPr>
        <w:ind w:hanging="351"/>
      </w:pPr>
      <w:rPr>
        <w:rFonts w:ascii="Arial" w:hAnsi="Arial"/>
        <w:b w:val="0"/>
        <w:w w:val="104"/>
        <w:sz w:val="15"/>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1CC19EF"/>
    <w:multiLevelType w:val="multilevel"/>
    <w:tmpl w:val="5E648FF2"/>
    <w:lvl w:ilvl="0">
      <w:start w:val="1"/>
      <w:numFmt w:val="decimal"/>
      <w:pStyle w:val="Titre3"/>
      <w:lvlText w:val="%1"/>
      <w:lvlJc w:val="left"/>
      <w:pPr>
        <w:tabs>
          <w:tab w:val="num" w:pos="360"/>
        </w:tabs>
        <w:ind w:left="36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none"/>
      <w:lvlText w:val=""/>
      <w:lvlJc w:val="left"/>
      <w:pPr>
        <w:tabs>
          <w:tab w:val="num" w:pos="36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15:restartNumberingAfterBreak="0">
    <w:nsid w:val="04915717"/>
    <w:multiLevelType w:val="hybridMultilevel"/>
    <w:tmpl w:val="056C72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04214D"/>
    <w:multiLevelType w:val="multilevel"/>
    <w:tmpl w:val="73120842"/>
    <w:lvl w:ilvl="0">
      <w:start w:val="1"/>
      <w:numFmt w:val="decimal"/>
      <w:lvlText w:val="%1."/>
      <w:lvlJc w:val="left"/>
      <w:pPr>
        <w:tabs>
          <w:tab w:val="num" w:pos="720"/>
        </w:tabs>
        <w:ind w:left="720" w:hanging="720"/>
      </w:pPr>
    </w:lvl>
    <w:lvl w:ilvl="1">
      <w:start w:val="1"/>
      <w:numFmt w:val="decimal"/>
      <w:pStyle w:val="StyleStyleTitre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CDC55F4"/>
    <w:multiLevelType w:val="hybridMultilevel"/>
    <w:tmpl w:val="6540E7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3B6128"/>
    <w:multiLevelType w:val="hybridMultilevel"/>
    <w:tmpl w:val="1264094C"/>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rPr>
        <w:rFonts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C9376A"/>
    <w:multiLevelType w:val="hybridMultilevel"/>
    <w:tmpl w:val="55C4A184"/>
    <w:lvl w:ilvl="0" w:tplc="040C0017">
      <w:start w:val="1"/>
      <w:numFmt w:val="lowerLetter"/>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AB4815"/>
    <w:multiLevelType w:val="hybridMultilevel"/>
    <w:tmpl w:val="37622D14"/>
    <w:lvl w:ilvl="0" w:tplc="7C2AC0BA">
      <w:start w:val="1"/>
      <w:numFmt w:val="low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8694C02"/>
    <w:multiLevelType w:val="hybridMultilevel"/>
    <w:tmpl w:val="B5307538"/>
    <w:lvl w:ilvl="0" w:tplc="040C0001">
      <w:start w:val="2"/>
      <w:numFmt w:val="bullet"/>
      <w:lvlText w:val="-"/>
      <w:lvlJc w:val="left"/>
      <w:pPr>
        <w:tabs>
          <w:tab w:val="num" w:pos="360"/>
        </w:tabs>
        <w:ind w:left="360" w:hanging="360"/>
      </w:pPr>
      <w:rPr>
        <w:rFonts w:ascii="Verdana" w:eastAsia="Times New Roman" w:hAnsi="Verdana" w:cs="Times New Roman" w:hint="default"/>
      </w:rPr>
    </w:lvl>
    <w:lvl w:ilvl="1" w:tplc="040C000F"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0C3BEE"/>
    <w:multiLevelType w:val="hybridMultilevel"/>
    <w:tmpl w:val="CB18EBD4"/>
    <w:lvl w:ilvl="0" w:tplc="4858ABB0">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A73A9E"/>
    <w:multiLevelType w:val="hybridMultilevel"/>
    <w:tmpl w:val="3DFC5328"/>
    <w:lvl w:ilvl="0" w:tplc="23DE5A8C">
      <w:start w:val="1"/>
      <w:numFmt w:val="bullet"/>
      <w:pStyle w:val="Listepuces2"/>
      <w:lvlText w:val=""/>
      <w:lvlJc w:val="left"/>
      <w:pPr>
        <w:tabs>
          <w:tab w:val="num" w:pos="643"/>
        </w:tabs>
        <w:ind w:left="643" w:hanging="360"/>
      </w:pPr>
      <w:rPr>
        <w:rFonts w:ascii="Wingdings" w:hAnsi="Wingdings" w:hint="default"/>
      </w:rPr>
    </w:lvl>
    <w:lvl w:ilvl="1" w:tplc="37DC4A0C" w:tentative="1">
      <w:start w:val="1"/>
      <w:numFmt w:val="bullet"/>
      <w:lvlText w:val="o"/>
      <w:lvlJc w:val="left"/>
      <w:pPr>
        <w:tabs>
          <w:tab w:val="num" w:pos="1723"/>
        </w:tabs>
        <w:ind w:left="1723" w:hanging="360"/>
      </w:pPr>
      <w:rPr>
        <w:rFonts w:ascii="Courier New" w:hAnsi="Courier New" w:hint="default"/>
      </w:rPr>
    </w:lvl>
    <w:lvl w:ilvl="2" w:tplc="0932298A" w:tentative="1">
      <w:start w:val="1"/>
      <w:numFmt w:val="bullet"/>
      <w:lvlText w:val=""/>
      <w:lvlJc w:val="left"/>
      <w:pPr>
        <w:tabs>
          <w:tab w:val="num" w:pos="2443"/>
        </w:tabs>
        <w:ind w:left="2443" w:hanging="360"/>
      </w:pPr>
      <w:rPr>
        <w:rFonts w:ascii="Wingdings" w:hAnsi="Wingdings" w:hint="default"/>
      </w:rPr>
    </w:lvl>
    <w:lvl w:ilvl="3" w:tplc="FADA48A0" w:tentative="1">
      <w:start w:val="1"/>
      <w:numFmt w:val="bullet"/>
      <w:lvlText w:val=""/>
      <w:lvlJc w:val="left"/>
      <w:pPr>
        <w:tabs>
          <w:tab w:val="num" w:pos="3163"/>
        </w:tabs>
        <w:ind w:left="3163" w:hanging="360"/>
      </w:pPr>
      <w:rPr>
        <w:rFonts w:ascii="Symbol" w:hAnsi="Symbol" w:hint="default"/>
      </w:rPr>
    </w:lvl>
    <w:lvl w:ilvl="4" w:tplc="A1AA992C" w:tentative="1">
      <w:start w:val="1"/>
      <w:numFmt w:val="bullet"/>
      <w:lvlText w:val="o"/>
      <w:lvlJc w:val="left"/>
      <w:pPr>
        <w:tabs>
          <w:tab w:val="num" w:pos="3883"/>
        </w:tabs>
        <w:ind w:left="3883" w:hanging="360"/>
      </w:pPr>
      <w:rPr>
        <w:rFonts w:ascii="Courier New" w:hAnsi="Courier New" w:hint="default"/>
      </w:rPr>
    </w:lvl>
    <w:lvl w:ilvl="5" w:tplc="A202D95A" w:tentative="1">
      <w:start w:val="1"/>
      <w:numFmt w:val="bullet"/>
      <w:lvlText w:val=""/>
      <w:lvlJc w:val="left"/>
      <w:pPr>
        <w:tabs>
          <w:tab w:val="num" w:pos="4603"/>
        </w:tabs>
        <w:ind w:left="4603" w:hanging="360"/>
      </w:pPr>
      <w:rPr>
        <w:rFonts w:ascii="Wingdings" w:hAnsi="Wingdings" w:hint="default"/>
      </w:rPr>
    </w:lvl>
    <w:lvl w:ilvl="6" w:tplc="F2D47A00" w:tentative="1">
      <w:start w:val="1"/>
      <w:numFmt w:val="bullet"/>
      <w:lvlText w:val=""/>
      <w:lvlJc w:val="left"/>
      <w:pPr>
        <w:tabs>
          <w:tab w:val="num" w:pos="5323"/>
        </w:tabs>
        <w:ind w:left="5323" w:hanging="360"/>
      </w:pPr>
      <w:rPr>
        <w:rFonts w:ascii="Symbol" w:hAnsi="Symbol" w:hint="default"/>
      </w:rPr>
    </w:lvl>
    <w:lvl w:ilvl="7" w:tplc="B848371E" w:tentative="1">
      <w:start w:val="1"/>
      <w:numFmt w:val="bullet"/>
      <w:lvlText w:val="o"/>
      <w:lvlJc w:val="left"/>
      <w:pPr>
        <w:tabs>
          <w:tab w:val="num" w:pos="6043"/>
        </w:tabs>
        <w:ind w:left="6043" w:hanging="360"/>
      </w:pPr>
      <w:rPr>
        <w:rFonts w:ascii="Courier New" w:hAnsi="Courier New" w:hint="default"/>
      </w:rPr>
    </w:lvl>
    <w:lvl w:ilvl="8" w:tplc="EABE1B16" w:tentative="1">
      <w:start w:val="1"/>
      <w:numFmt w:val="bullet"/>
      <w:lvlText w:val=""/>
      <w:lvlJc w:val="left"/>
      <w:pPr>
        <w:tabs>
          <w:tab w:val="num" w:pos="6763"/>
        </w:tabs>
        <w:ind w:left="6763" w:hanging="360"/>
      </w:pPr>
      <w:rPr>
        <w:rFonts w:ascii="Wingdings" w:hAnsi="Wingdings" w:hint="default"/>
      </w:rPr>
    </w:lvl>
  </w:abstractNum>
  <w:abstractNum w:abstractNumId="13" w15:restartNumberingAfterBreak="0">
    <w:nsid w:val="558224D5"/>
    <w:multiLevelType w:val="hybridMultilevel"/>
    <w:tmpl w:val="55C4A184"/>
    <w:lvl w:ilvl="0" w:tplc="040C0017">
      <w:start w:val="1"/>
      <w:numFmt w:val="lowerLetter"/>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2CF5818"/>
    <w:multiLevelType w:val="hybridMultilevel"/>
    <w:tmpl w:val="F3FA450C"/>
    <w:lvl w:ilvl="0" w:tplc="D7DA840E">
      <w:start w:val="1"/>
      <w:numFmt w:val="bullet"/>
      <w:pStyle w:val="Listepuces3"/>
      <w:lvlText w:val=""/>
      <w:lvlJc w:val="left"/>
      <w:pPr>
        <w:tabs>
          <w:tab w:val="num" w:pos="360"/>
        </w:tabs>
        <w:ind w:left="360" w:hanging="360"/>
      </w:pPr>
      <w:rPr>
        <w:rFonts w:ascii="Symbol" w:hAnsi="Symbol" w:hint="default"/>
      </w:rPr>
    </w:lvl>
    <w:lvl w:ilvl="1" w:tplc="6F68750A" w:tentative="1">
      <w:start w:val="1"/>
      <w:numFmt w:val="bullet"/>
      <w:lvlText w:val="o"/>
      <w:lvlJc w:val="left"/>
      <w:pPr>
        <w:tabs>
          <w:tab w:val="num" w:pos="1440"/>
        </w:tabs>
        <w:ind w:left="1440" w:hanging="360"/>
      </w:pPr>
      <w:rPr>
        <w:rFonts w:ascii="Courier New" w:hAnsi="Courier New" w:hint="default"/>
      </w:rPr>
    </w:lvl>
    <w:lvl w:ilvl="2" w:tplc="6040FC2C" w:tentative="1">
      <w:start w:val="1"/>
      <w:numFmt w:val="bullet"/>
      <w:lvlText w:val=""/>
      <w:lvlJc w:val="left"/>
      <w:pPr>
        <w:tabs>
          <w:tab w:val="num" w:pos="2160"/>
        </w:tabs>
        <w:ind w:left="2160" w:hanging="360"/>
      </w:pPr>
      <w:rPr>
        <w:rFonts w:ascii="Wingdings" w:hAnsi="Wingdings" w:hint="default"/>
      </w:rPr>
    </w:lvl>
    <w:lvl w:ilvl="3" w:tplc="D8B42026" w:tentative="1">
      <w:start w:val="1"/>
      <w:numFmt w:val="bullet"/>
      <w:lvlText w:val=""/>
      <w:lvlJc w:val="left"/>
      <w:pPr>
        <w:tabs>
          <w:tab w:val="num" w:pos="2880"/>
        </w:tabs>
        <w:ind w:left="2880" w:hanging="360"/>
      </w:pPr>
      <w:rPr>
        <w:rFonts w:ascii="Symbol" w:hAnsi="Symbol" w:hint="default"/>
      </w:rPr>
    </w:lvl>
    <w:lvl w:ilvl="4" w:tplc="96B2AE26" w:tentative="1">
      <w:start w:val="1"/>
      <w:numFmt w:val="bullet"/>
      <w:lvlText w:val="o"/>
      <w:lvlJc w:val="left"/>
      <w:pPr>
        <w:tabs>
          <w:tab w:val="num" w:pos="3600"/>
        </w:tabs>
        <w:ind w:left="3600" w:hanging="360"/>
      </w:pPr>
      <w:rPr>
        <w:rFonts w:ascii="Courier New" w:hAnsi="Courier New" w:hint="default"/>
      </w:rPr>
    </w:lvl>
    <w:lvl w:ilvl="5" w:tplc="6F72E516" w:tentative="1">
      <w:start w:val="1"/>
      <w:numFmt w:val="bullet"/>
      <w:lvlText w:val=""/>
      <w:lvlJc w:val="left"/>
      <w:pPr>
        <w:tabs>
          <w:tab w:val="num" w:pos="4320"/>
        </w:tabs>
        <w:ind w:left="4320" w:hanging="360"/>
      </w:pPr>
      <w:rPr>
        <w:rFonts w:ascii="Wingdings" w:hAnsi="Wingdings" w:hint="default"/>
      </w:rPr>
    </w:lvl>
    <w:lvl w:ilvl="6" w:tplc="04941092" w:tentative="1">
      <w:start w:val="1"/>
      <w:numFmt w:val="bullet"/>
      <w:lvlText w:val=""/>
      <w:lvlJc w:val="left"/>
      <w:pPr>
        <w:tabs>
          <w:tab w:val="num" w:pos="5040"/>
        </w:tabs>
        <w:ind w:left="5040" w:hanging="360"/>
      </w:pPr>
      <w:rPr>
        <w:rFonts w:ascii="Symbol" w:hAnsi="Symbol" w:hint="default"/>
      </w:rPr>
    </w:lvl>
    <w:lvl w:ilvl="7" w:tplc="F6F82FF2" w:tentative="1">
      <w:start w:val="1"/>
      <w:numFmt w:val="bullet"/>
      <w:lvlText w:val="o"/>
      <w:lvlJc w:val="left"/>
      <w:pPr>
        <w:tabs>
          <w:tab w:val="num" w:pos="5760"/>
        </w:tabs>
        <w:ind w:left="5760" w:hanging="360"/>
      </w:pPr>
      <w:rPr>
        <w:rFonts w:ascii="Courier New" w:hAnsi="Courier New" w:hint="default"/>
      </w:rPr>
    </w:lvl>
    <w:lvl w:ilvl="8" w:tplc="ABE02ED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116EB6"/>
    <w:multiLevelType w:val="hybridMultilevel"/>
    <w:tmpl w:val="2F869DCE"/>
    <w:lvl w:ilvl="0" w:tplc="10A00728">
      <w:start w:val="3"/>
      <w:numFmt w:val="lowerRoman"/>
      <w:lvlText w:val="%1."/>
      <w:lvlJc w:val="right"/>
      <w:pPr>
        <w:ind w:left="360" w:hanging="360"/>
      </w:pPr>
      <w:rPr>
        <w:rFonts w:hint="default"/>
      </w:rPr>
    </w:lvl>
    <w:lvl w:ilvl="1" w:tplc="040C0019" w:tentative="1">
      <w:start w:val="1"/>
      <w:numFmt w:val="lowerLetter"/>
      <w:lvlText w:val="%2."/>
      <w:lvlJc w:val="left"/>
      <w:pPr>
        <w:ind w:left="371" w:hanging="360"/>
      </w:pPr>
    </w:lvl>
    <w:lvl w:ilvl="2" w:tplc="040C001B" w:tentative="1">
      <w:start w:val="1"/>
      <w:numFmt w:val="lowerRoman"/>
      <w:lvlText w:val="%3."/>
      <w:lvlJc w:val="right"/>
      <w:pPr>
        <w:ind w:left="1091" w:hanging="180"/>
      </w:p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16" w15:restartNumberingAfterBreak="0">
    <w:nsid w:val="6AF51227"/>
    <w:multiLevelType w:val="hybridMultilevel"/>
    <w:tmpl w:val="4E660168"/>
    <w:lvl w:ilvl="0" w:tplc="ED4898F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B85284"/>
    <w:multiLevelType w:val="hybridMultilevel"/>
    <w:tmpl w:val="7B80712E"/>
    <w:lvl w:ilvl="0" w:tplc="EE8C111A">
      <w:numFmt w:val="bullet"/>
      <w:lvlText w:val="-"/>
      <w:lvlJc w:val="left"/>
      <w:pPr>
        <w:ind w:left="1297" w:hanging="360"/>
      </w:pPr>
      <w:rPr>
        <w:rFonts w:ascii="Calibri" w:eastAsia="Times New Roman" w:hAnsi="Calibri" w:hint="default"/>
      </w:rPr>
    </w:lvl>
    <w:lvl w:ilvl="1" w:tplc="040C0003">
      <w:start w:val="1"/>
      <w:numFmt w:val="bullet"/>
      <w:lvlText w:val="o"/>
      <w:lvlJc w:val="left"/>
      <w:pPr>
        <w:ind w:left="2017" w:hanging="360"/>
      </w:pPr>
      <w:rPr>
        <w:rFonts w:ascii="Courier New" w:hAnsi="Courier New" w:hint="default"/>
      </w:rPr>
    </w:lvl>
    <w:lvl w:ilvl="2" w:tplc="040C0005">
      <w:start w:val="1"/>
      <w:numFmt w:val="bullet"/>
      <w:lvlText w:val=""/>
      <w:lvlJc w:val="left"/>
      <w:pPr>
        <w:ind w:left="2737" w:hanging="360"/>
      </w:pPr>
      <w:rPr>
        <w:rFonts w:ascii="Wingdings" w:hAnsi="Wingdings" w:hint="default"/>
      </w:rPr>
    </w:lvl>
    <w:lvl w:ilvl="3" w:tplc="040C0001">
      <w:start w:val="1"/>
      <w:numFmt w:val="bullet"/>
      <w:lvlText w:val=""/>
      <w:lvlJc w:val="left"/>
      <w:pPr>
        <w:ind w:left="3457" w:hanging="360"/>
      </w:pPr>
      <w:rPr>
        <w:rFonts w:ascii="Symbol" w:hAnsi="Symbol" w:hint="default"/>
      </w:rPr>
    </w:lvl>
    <w:lvl w:ilvl="4" w:tplc="040C0003">
      <w:start w:val="1"/>
      <w:numFmt w:val="bullet"/>
      <w:lvlText w:val="o"/>
      <w:lvlJc w:val="left"/>
      <w:pPr>
        <w:ind w:left="4177" w:hanging="360"/>
      </w:pPr>
      <w:rPr>
        <w:rFonts w:ascii="Courier New" w:hAnsi="Courier New" w:hint="default"/>
      </w:rPr>
    </w:lvl>
    <w:lvl w:ilvl="5" w:tplc="040C0005">
      <w:start w:val="1"/>
      <w:numFmt w:val="bullet"/>
      <w:lvlText w:val=""/>
      <w:lvlJc w:val="left"/>
      <w:pPr>
        <w:ind w:left="4897" w:hanging="360"/>
      </w:pPr>
      <w:rPr>
        <w:rFonts w:ascii="Wingdings" w:hAnsi="Wingdings" w:hint="default"/>
      </w:rPr>
    </w:lvl>
    <w:lvl w:ilvl="6" w:tplc="040C0001">
      <w:start w:val="1"/>
      <w:numFmt w:val="bullet"/>
      <w:lvlText w:val=""/>
      <w:lvlJc w:val="left"/>
      <w:pPr>
        <w:ind w:left="5617" w:hanging="360"/>
      </w:pPr>
      <w:rPr>
        <w:rFonts w:ascii="Symbol" w:hAnsi="Symbol" w:hint="default"/>
      </w:rPr>
    </w:lvl>
    <w:lvl w:ilvl="7" w:tplc="040C0003">
      <w:start w:val="1"/>
      <w:numFmt w:val="bullet"/>
      <w:lvlText w:val="o"/>
      <w:lvlJc w:val="left"/>
      <w:pPr>
        <w:ind w:left="6337" w:hanging="360"/>
      </w:pPr>
      <w:rPr>
        <w:rFonts w:ascii="Courier New" w:hAnsi="Courier New" w:hint="default"/>
      </w:rPr>
    </w:lvl>
    <w:lvl w:ilvl="8" w:tplc="040C0005">
      <w:start w:val="1"/>
      <w:numFmt w:val="bullet"/>
      <w:lvlText w:val=""/>
      <w:lvlJc w:val="left"/>
      <w:pPr>
        <w:ind w:left="7057" w:hanging="360"/>
      </w:pPr>
      <w:rPr>
        <w:rFonts w:ascii="Wingdings" w:hAnsi="Wingdings" w:hint="default"/>
      </w:rPr>
    </w:lvl>
  </w:abstractNum>
  <w:abstractNum w:abstractNumId="18" w15:restartNumberingAfterBreak="0">
    <w:nsid w:val="6EB25F32"/>
    <w:multiLevelType w:val="multilevel"/>
    <w:tmpl w:val="1222F2E0"/>
    <w:lvl w:ilvl="0">
      <w:start w:val="1"/>
      <w:numFmt w:val="decimal"/>
      <w:pStyle w:val="EmailStyle151"/>
      <w:lvlText w:val="%1."/>
      <w:lvlJc w:val="left"/>
      <w:pPr>
        <w:tabs>
          <w:tab w:val="num" w:pos="360"/>
        </w:tabs>
        <w:ind w:left="0" w:firstLine="0"/>
      </w:pPr>
      <w:rPr>
        <w:rFonts w:ascii="Times New Roman" w:hAnsi="Times New Roman" w:cs="Times New Roman" w:hint="default"/>
      </w:rPr>
    </w:lvl>
    <w:lvl w:ilvl="1">
      <w:start w:val="1"/>
      <w:numFmt w:val="decimal"/>
      <w:pStyle w:val="Titre2"/>
      <w:lvlText w:val="%1.%2"/>
      <w:lvlJc w:val="left"/>
      <w:pPr>
        <w:tabs>
          <w:tab w:val="num" w:pos="0"/>
        </w:tabs>
        <w:ind w:left="0" w:firstLine="0"/>
      </w:pPr>
      <w:rPr>
        <w:rFonts w:hint="default"/>
      </w:rPr>
    </w:lvl>
    <w:lvl w:ilvl="2">
      <w:start w:val="1"/>
      <w:numFmt w:val="decimal"/>
      <w:pStyle w:val="Styletitre3"/>
      <w:lvlText w:val="%1.%2.%3"/>
      <w:lvlJc w:val="left"/>
      <w:pPr>
        <w:tabs>
          <w:tab w:val="num" w:pos="0"/>
        </w:tabs>
        <w:ind w:left="0" w:firstLine="0"/>
      </w:pPr>
      <w:rPr>
        <w:rFonts w:hint="default"/>
      </w:rPr>
    </w:lvl>
    <w:lvl w:ilvl="3">
      <w:start w:val="1"/>
      <w:numFmt w:val="decimal"/>
      <w:pStyle w:val="Titre4"/>
      <w:lvlText w:val="11.1.2.%4"/>
      <w:lvlJc w:val="left"/>
      <w:pPr>
        <w:tabs>
          <w:tab w:val="num" w:pos="360"/>
        </w:tabs>
        <w:ind w:left="0" w:firstLine="0"/>
      </w:pPr>
      <w:rPr>
        <w:rFonts w:hint="default"/>
      </w:rPr>
    </w:lvl>
    <w:lvl w:ilvl="4">
      <w:start w:val="1"/>
      <w:numFmt w:val="decimal"/>
      <w:pStyle w:val="Titre5"/>
      <w:lvlText w:val="%5%1.%2.%3.%41.1"/>
      <w:lvlJc w:val="left"/>
      <w:pPr>
        <w:tabs>
          <w:tab w:val="num" w:pos="0"/>
        </w:tabs>
        <w:ind w:left="0" w:firstLine="0"/>
      </w:pPr>
      <w:rPr>
        <w:rFonts w:hint="default"/>
      </w:rPr>
    </w:lvl>
    <w:lvl w:ilvl="5">
      <w:start w:val="1"/>
      <w:numFmt w:val="decimal"/>
      <w:pStyle w:val="Titre6"/>
      <w:lvlText w:val="%1.%2.%3.%4.%5.%6"/>
      <w:lvlJc w:val="left"/>
      <w:pPr>
        <w:tabs>
          <w:tab w:val="num" w:pos="0"/>
        </w:tabs>
        <w:ind w:left="0" w:firstLine="0"/>
      </w:pPr>
      <w:rPr>
        <w:rFonts w:hint="default"/>
      </w:rPr>
    </w:lvl>
    <w:lvl w:ilvl="6">
      <w:start w:val="1"/>
      <w:numFmt w:val="decimal"/>
      <w:pStyle w:val="Titre7"/>
      <w:lvlText w:val="%1.%2.%3.%4.%5.%6.%7"/>
      <w:lvlJc w:val="left"/>
      <w:pPr>
        <w:tabs>
          <w:tab w:val="num" w:pos="0"/>
        </w:tabs>
        <w:ind w:left="0" w:firstLine="0"/>
      </w:pPr>
      <w:rPr>
        <w:rFonts w:hint="default"/>
      </w:rPr>
    </w:lvl>
    <w:lvl w:ilvl="7">
      <w:start w:val="1"/>
      <w:numFmt w:val="decimal"/>
      <w:pStyle w:val="Titre8"/>
      <w:lvlText w:val="%1.%2.%3.%4.%5.%6.%7.%8"/>
      <w:lvlJc w:val="left"/>
      <w:pPr>
        <w:tabs>
          <w:tab w:val="num" w:pos="0"/>
        </w:tabs>
        <w:ind w:left="0" w:firstLine="0"/>
      </w:pPr>
      <w:rPr>
        <w:rFonts w:hint="default"/>
      </w:rPr>
    </w:lvl>
    <w:lvl w:ilvl="8">
      <w:start w:val="1"/>
      <w:numFmt w:val="decimal"/>
      <w:pStyle w:val="Titre9"/>
      <w:lvlText w:val="%1.%2.%3.%4.%5.%6.%7.%8.%9"/>
      <w:lvlJc w:val="left"/>
      <w:pPr>
        <w:tabs>
          <w:tab w:val="num" w:pos="0"/>
        </w:tabs>
        <w:ind w:left="0" w:firstLine="0"/>
      </w:pPr>
      <w:rPr>
        <w:rFonts w:hint="default"/>
      </w:rPr>
    </w:lvl>
  </w:abstractNum>
  <w:abstractNum w:abstractNumId="19" w15:restartNumberingAfterBreak="0">
    <w:nsid w:val="73252555"/>
    <w:multiLevelType w:val="multilevel"/>
    <w:tmpl w:val="1616AC2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736B2E09"/>
    <w:multiLevelType w:val="singleLevel"/>
    <w:tmpl w:val="040C0019"/>
    <w:lvl w:ilvl="0">
      <w:start w:val="1"/>
      <w:numFmt w:val="lowerLetter"/>
      <w:lvlText w:val="(%1)"/>
      <w:lvlJc w:val="left"/>
      <w:pPr>
        <w:tabs>
          <w:tab w:val="num" w:pos="360"/>
        </w:tabs>
        <w:ind w:left="360" w:hanging="360"/>
      </w:pPr>
    </w:lvl>
  </w:abstractNum>
  <w:abstractNum w:abstractNumId="21" w15:restartNumberingAfterBreak="0">
    <w:nsid w:val="756C0F4B"/>
    <w:multiLevelType w:val="hybridMultilevel"/>
    <w:tmpl w:val="2AF43120"/>
    <w:lvl w:ilvl="0" w:tplc="5E6CBBD4">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7CB62542"/>
    <w:multiLevelType w:val="multilevel"/>
    <w:tmpl w:val="37A4DDB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8"/>
  </w:num>
  <w:num w:numId="2">
    <w:abstractNumId w:val="3"/>
  </w:num>
  <w:num w:numId="3">
    <w:abstractNumId w:val="1"/>
  </w:num>
  <w:num w:numId="4">
    <w:abstractNumId w:val="12"/>
  </w:num>
  <w:num w:numId="5">
    <w:abstractNumId w:val="14"/>
  </w:num>
  <w:num w:numId="6">
    <w:abstractNumId w:val="10"/>
  </w:num>
  <w:num w:numId="7">
    <w:abstractNumId w:val="20"/>
  </w:num>
  <w:num w:numId="8">
    <w:abstractNumId w:val="16"/>
  </w:num>
  <w:num w:numId="9">
    <w:abstractNumId w:val="7"/>
  </w:num>
  <w:num w:numId="10">
    <w:abstractNumId w:val="5"/>
  </w:num>
  <w:num w:numId="11">
    <w:abstractNumId w:val="11"/>
  </w:num>
  <w:num w:numId="12">
    <w:abstractNumId w:val="4"/>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6"/>
  </w:num>
  <w:num w:numId="17">
    <w:abstractNumId w:val="22"/>
  </w:num>
  <w:num w:numId="1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5"/>
  </w:num>
  <w:num w:numId="27">
    <w:abstractNumId w:val="21"/>
  </w:num>
  <w:num w:numId="28">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rawingGridHorizontalSpacing w:val="8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7F"/>
    <w:rsid w:val="0000094D"/>
    <w:rsid w:val="00000F83"/>
    <w:rsid w:val="00001B26"/>
    <w:rsid w:val="00001C26"/>
    <w:rsid w:val="0000595A"/>
    <w:rsid w:val="00005F0A"/>
    <w:rsid w:val="000114AF"/>
    <w:rsid w:val="000138EC"/>
    <w:rsid w:val="00015A93"/>
    <w:rsid w:val="00017836"/>
    <w:rsid w:val="0002117E"/>
    <w:rsid w:val="000219AE"/>
    <w:rsid w:val="00021E6E"/>
    <w:rsid w:val="00023403"/>
    <w:rsid w:val="000235D0"/>
    <w:rsid w:val="00026BD0"/>
    <w:rsid w:val="00027D6D"/>
    <w:rsid w:val="000301FE"/>
    <w:rsid w:val="00030B4D"/>
    <w:rsid w:val="00030E26"/>
    <w:rsid w:val="00032CF2"/>
    <w:rsid w:val="00033FC4"/>
    <w:rsid w:val="00034E8C"/>
    <w:rsid w:val="00037EE9"/>
    <w:rsid w:val="00044472"/>
    <w:rsid w:val="00046C14"/>
    <w:rsid w:val="000524D8"/>
    <w:rsid w:val="00053995"/>
    <w:rsid w:val="00054F6A"/>
    <w:rsid w:val="00055384"/>
    <w:rsid w:val="00055A3B"/>
    <w:rsid w:val="000603A0"/>
    <w:rsid w:val="00060B3A"/>
    <w:rsid w:val="00061A4A"/>
    <w:rsid w:val="00061D2B"/>
    <w:rsid w:val="0006318B"/>
    <w:rsid w:val="00063BC7"/>
    <w:rsid w:val="00063FA1"/>
    <w:rsid w:val="0006401A"/>
    <w:rsid w:val="00065FCC"/>
    <w:rsid w:val="000678A5"/>
    <w:rsid w:val="00072053"/>
    <w:rsid w:val="000805DB"/>
    <w:rsid w:val="00081411"/>
    <w:rsid w:val="00082186"/>
    <w:rsid w:val="00083BA1"/>
    <w:rsid w:val="000841A0"/>
    <w:rsid w:val="00084519"/>
    <w:rsid w:val="000849F1"/>
    <w:rsid w:val="000858CE"/>
    <w:rsid w:val="00090E98"/>
    <w:rsid w:val="00091B16"/>
    <w:rsid w:val="00091B47"/>
    <w:rsid w:val="00092A11"/>
    <w:rsid w:val="00094EA5"/>
    <w:rsid w:val="000975B0"/>
    <w:rsid w:val="000A0C70"/>
    <w:rsid w:val="000A1CF5"/>
    <w:rsid w:val="000A34CC"/>
    <w:rsid w:val="000A4B37"/>
    <w:rsid w:val="000A4C6B"/>
    <w:rsid w:val="000A777B"/>
    <w:rsid w:val="000B02A7"/>
    <w:rsid w:val="000B0988"/>
    <w:rsid w:val="000B28B3"/>
    <w:rsid w:val="000B6018"/>
    <w:rsid w:val="000B7A66"/>
    <w:rsid w:val="000B7F72"/>
    <w:rsid w:val="000C0BF3"/>
    <w:rsid w:val="000C22E0"/>
    <w:rsid w:val="000C264F"/>
    <w:rsid w:val="000C2AE8"/>
    <w:rsid w:val="000C2E52"/>
    <w:rsid w:val="000C3003"/>
    <w:rsid w:val="000C3015"/>
    <w:rsid w:val="000C32AB"/>
    <w:rsid w:val="000C3FDF"/>
    <w:rsid w:val="000C47B7"/>
    <w:rsid w:val="000D0339"/>
    <w:rsid w:val="000D10DA"/>
    <w:rsid w:val="000D1FA6"/>
    <w:rsid w:val="000D45A1"/>
    <w:rsid w:val="000D45D0"/>
    <w:rsid w:val="000E07BC"/>
    <w:rsid w:val="000E2CD8"/>
    <w:rsid w:val="000E2D3E"/>
    <w:rsid w:val="000E42C0"/>
    <w:rsid w:val="000E476F"/>
    <w:rsid w:val="000E4B28"/>
    <w:rsid w:val="000E4BCF"/>
    <w:rsid w:val="000E5C1C"/>
    <w:rsid w:val="000E7219"/>
    <w:rsid w:val="000E7536"/>
    <w:rsid w:val="000F0CDF"/>
    <w:rsid w:val="000F1DB5"/>
    <w:rsid w:val="000F1FD2"/>
    <w:rsid w:val="000F22DB"/>
    <w:rsid w:val="000F2A01"/>
    <w:rsid w:val="000F364A"/>
    <w:rsid w:val="000F5A2C"/>
    <w:rsid w:val="000F649C"/>
    <w:rsid w:val="000F64CF"/>
    <w:rsid w:val="000F7CB5"/>
    <w:rsid w:val="000F7CFD"/>
    <w:rsid w:val="000F7F1B"/>
    <w:rsid w:val="00100E1A"/>
    <w:rsid w:val="001050C3"/>
    <w:rsid w:val="0010788C"/>
    <w:rsid w:val="00107B8B"/>
    <w:rsid w:val="00111540"/>
    <w:rsid w:val="001139AF"/>
    <w:rsid w:val="001143FF"/>
    <w:rsid w:val="001164D4"/>
    <w:rsid w:val="001176D9"/>
    <w:rsid w:val="00117DAE"/>
    <w:rsid w:val="00120238"/>
    <w:rsid w:val="00121DC7"/>
    <w:rsid w:val="00122E66"/>
    <w:rsid w:val="00125983"/>
    <w:rsid w:val="00125DAE"/>
    <w:rsid w:val="00126B49"/>
    <w:rsid w:val="00127F37"/>
    <w:rsid w:val="001320F3"/>
    <w:rsid w:val="0013254F"/>
    <w:rsid w:val="00133ED7"/>
    <w:rsid w:val="00135611"/>
    <w:rsid w:val="00137A81"/>
    <w:rsid w:val="00141602"/>
    <w:rsid w:val="00143867"/>
    <w:rsid w:val="00144295"/>
    <w:rsid w:val="001443F1"/>
    <w:rsid w:val="001457F9"/>
    <w:rsid w:val="00145983"/>
    <w:rsid w:val="00147073"/>
    <w:rsid w:val="00147903"/>
    <w:rsid w:val="00147CD2"/>
    <w:rsid w:val="00150235"/>
    <w:rsid w:val="00151C1D"/>
    <w:rsid w:val="0015258C"/>
    <w:rsid w:val="00155280"/>
    <w:rsid w:val="001575DA"/>
    <w:rsid w:val="00160773"/>
    <w:rsid w:val="001608E8"/>
    <w:rsid w:val="00162907"/>
    <w:rsid w:val="00163F7C"/>
    <w:rsid w:val="0016438D"/>
    <w:rsid w:val="001659AC"/>
    <w:rsid w:val="00165DEE"/>
    <w:rsid w:val="00167761"/>
    <w:rsid w:val="00171E1A"/>
    <w:rsid w:val="001727EA"/>
    <w:rsid w:val="001731AE"/>
    <w:rsid w:val="00176128"/>
    <w:rsid w:val="0018063F"/>
    <w:rsid w:val="001820EC"/>
    <w:rsid w:val="00183FDF"/>
    <w:rsid w:val="00186533"/>
    <w:rsid w:val="001867BB"/>
    <w:rsid w:val="00190DE5"/>
    <w:rsid w:val="00191182"/>
    <w:rsid w:val="00192E29"/>
    <w:rsid w:val="001934DE"/>
    <w:rsid w:val="001946AC"/>
    <w:rsid w:val="00195309"/>
    <w:rsid w:val="00196483"/>
    <w:rsid w:val="00197337"/>
    <w:rsid w:val="001A096B"/>
    <w:rsid w:val="001A1388"/>
    <w:rsid w:val="001A2E62"/>
    <w:rsid w:val="001A4198"/>
    <w:rsid w:val="001A5526"/>
    <w:rsid w:val="001A671A"/>
    <w:rsid w:val="001A6AF9"/>
    <w:rsid w:val="001A75E8"/>
    <w:rsid w:val="001B3605"/>
    <w:rsid w:val="001B44E9"/>
    <w:rsid w:val="001B5588"/>
    <w:rsid w:val="001B6911"/>
    <w:rsid w:val="001B7624"/>
    <w:rsid w:val="001C1E48"/>
    <w:rsid w:val="001C260C"/>
    <w:rsid w:val="001C2DD8"/>
    <w:rsid w:val="001D2031"/>
    <w:rsid w:val="001D3789"/>
    <w:rsid w:val="001D4116"/>
    <w:rsid w:val="001D42B4"/>
    <w:rsid w:val="001D549B"/>
    <w:rsid w:val="001D6702"/>
    <w:rsid w:val="001D6CD8"/>
    <w:rsid w:val="001D7609"/>
    <w:rsid w:val="001D7B24"/>
    <w:rsid w:val="001E024F"/>
    <w:rsid w:val="001E11AF"/>
    <w:rsid w:val="001E39AD"/>
    <w:rsid w:val="001E3FF2"/>
    <w:rsid w:val="001E59E5"/>
    <w:rsid w:val="001E5A45"/>
    <w:rsid w:val="001F0C83"/>
    <w:rsid w:val="001F3F98"/>
    <w:rsid w:val="001F45A3"/>
    <w:rsid w:val="001F5768"/>
    <w:rsid w:val="001F5A8A"/>
    <w:rsid w:val="001F5C23"/>
    <w:rsid w:val="001F6429"/>
    <w:rsid w:val="001F7309"/>
    <w:rsid w:val="00200BB5"/>
    <w:rsid w:val="002035A2"/>
    <w:rsid w:val="00203D92"/>
    <w:rsid w:val="00204CF4"/>
    <w:rsid w:val="00204F6E"/>
    <w:rsid w:val="0020518D"/>
    <w:rsid w:val="002055C6"/>
    <w:rsid w:val="00205927"/>
    <w:rsid w:val="002062D7"/>
    <w:rsid w:val="00206944"/>
    <w:rsid w:val="00207648"/>
    <w:rsid w:val="00212CBB"/>
    <w:rsid w:val="00214FE2"/>
    <w:rsid w:val="00216B4C"/>
    <w:rsid w:val="00220927"/>
    <w:rsid w:val="0022295B"/>
    <w:rsid w:val="00223134"/>
    <w:rsid w:val="00223625"/>
    <w:rsid w:val="00224356"/>
    <w:rsid w:val="00224C44"/>
    <w:rsid w:val="002251AF"/>
    <w:rsid w:val="002256FC"/>
    <w:rsid w:val="00225C16"/>
    <w:rsid w:val="00227DFD"/>
    <w:rsid w:val="002309BB"/>
    <w:rsid w:val="0023201E"/>
    <w:rsid w:val="002324AE"/>
    <w:rsid w:val="00232553"/>
    <w:rsid w:val="002345E2"/>
    <w:rsid w:val="00234E97"/>
    <w:rsid w:val="00237FC1"/>
    <w:rsid w:val="0024072B"/>
    <w:rsid w:val="002414A7"/>
    <w:rsid w:val="00241CF9"/>
    <w:rsid w:val="002420D5"/>
    <w:rsid w:val="00242CA5"/>
    <w:rsid w:val="00243474"/>
    <w:rsid w:val="002439F6"/>
    <w:rsid w:val="00243D30"/>
    <w:rsid w:val="002446CF"/>
    <w:rsid w:val="00244765"/>
    <w:rsid w:val="00245242"/>
    <w:rsid w:val="002501C5"/>
    <w:rsid w:val="00250F44"/>
    <w:rsid w:val="0025223C"/>
    <w:rsid w:val="002530DC"/>
    <w:rsid w:val="002533DF"/>
    <w:rsid w:val="002539A2"/>
    <w:rsid w:val="00253FA8"/>
    <w:rsid w:val="00254D83"/>
    <w:rsid w:val="002555C9"/>
    <w:rsid w:val="0025678D"/>
    <w:rsid w:val="002604E3"/>
    <w:rsid w:val="002610F1"/>
    <w:rsid w:val="00261822"/>
    <w:rsid w:val="002624B0"/>
    <w:rsid w:val="00262B26"/>
    <w:rsid w:val="00263593"/>
    <w:rsid w:val="002639B4"/>
    <w:rsid w:val="00263AA2"/>
    <w:rsid w:val="002644AF"/>
    <w:rsid w:val="00265820"/>
    <w:rsid w:val="00266AB7"/>
    <w:rsid w:val="00267A75"/>
    <w:rsid w:val="00267F0D"/>
    <w:rsid w:val="0027073B"/>
    <w:rsid w:val="00271122"/>
    <w:rsid w:val="00271949"/>
    <w:rsid w:val="00271CB5"/>
    <w:rsid w:val="00272640"/>
    <w:rsid w:val="002727CA"/>
    <w:rsid w:val="00274A73"/>
    <w:rsid w:val="00275C28"/>
    <w:rsid w:val="00275FBC"/>
    <w:rsid w:val="00281848"/>
    <w:rsid w:val="002837D0"/>
    <w:rsid w:val="00284C35"/>
    <w:rsid w:val="00286400"/>
    <w:rsid w:val="00294306"/>
    <w:rsid w:val="00296AC3"/>
    <w:rsid w:val="002A016A"/>
    <w:rsid w:val="002A0D3F"/>
    <w:rsid w:val="002A192A"/>
    <w:rsid w:val="002A1B83"/>
    <w:rsid w:val="002A1BCD"/>
    <w:rsid w:val="002A2F97"/>
    <w:rsid w:val="002A5A87"/>
    <w:rsid w:val="002A72A0"/>
    <w:rsid w:val="002A73B6"/>
    <w:rsid w:val="002B042C"/>
    <w:rsid w:val="002B2339"/>
    <w:rsid w:val="002B4ABF"/>
    <w:rsid w:val="002B5548"/>
    <w:rsid w:val="002B60AE"/>
    <w:rsid w:val="002B6380"/>
    <w:rsid w:val="002B6BBA"/>
    <w:rsid w:val="002B763D"/>
    <w:rsid w:val="002B76FB"/>
    <w:rsid w:val="002C0432"/>
    <w:rsid w:val="002C1A50"/>
    <w:rsid w:val="002D366D"/>
    <w:rsid w:val="002D438F"/>
    <w:rsid w:val="002D46BE"/>
    <w:rsid w:val="002D4FF0"/>
    <w:rsid w:val="002D51EE"/>
    <w:rsid w:val="002D74FE"/>
    <w:rsid w:val="002E135C"/>
    <w:rsid w:val="002E1472"/>
    <w:rsid w:val="002E384A"/>
    <w:rsid w:val="002F14EE"/>
    <w:rsid w:val="002F33CD"/>
    <w:rsid w:val="002F3419"/>
    <w:rsid w:val="002F37C5"/>
    <w:rsid w:val="002F3E03"/>
    <w:rsid w:val="002F4261"/>
    <w:rsid w:val="002F50B3"/>
    <w:rsid w:val="002F5300"/>
    <w:rsid w:val="002F58CC"/>
    <w:rsid w:val="002F5CDE"/>
    <w:rsid w:val="002F7137"/>
    <w:rsid w:val="00300BDA"/>
    <w:rsid w:val="00300EAA"/>
    <w:rsid w:val="00301912"/>
    <w:rsid w:val="00304345"/>
    <w:rsid w:val="003046BD"/>
    <w:rsid w:val="00304D08"/>
    <w:rsid w:val="003059E1"/>
    <w:rsid w:val="003065C1"/>
    <w:rsid w:val="00307A91"/>
    <w:rsid w:val="00313DA4"/>
    <w:rsid w:val="00313E69"/>
    <w:rsid w:val="00315465"/>
    <w:rsid w:val="00315C25"/>
    <w:rsid w:val="003175E9"/>
    <w:rsid w:val="003178DF"/>
    <w:rsid w:val="00320D2E"/>
    <w:rsid w:val="00321B6F"/>
    <w:rsid w:val="00322876"/>
    <w:rsid w:val="0032390F"/>
    <w:rsid w:val="00325024"/>
    <w:rsid w:val="00326DE7"/>
    <w:rsid w:val="00332E28"/>
    <w:rsid w:val="0033343C"/>
    <w:rsid w:val="00334019"/>
    <w:rsid w:val="00334941"/>
    <w:rsid w:val="00336363"/>
    <w:rsid w:val="00341AC4"/>
    <w:rsid w:val="00343649"/>
    <w:rsid w:val="003438DB"/>
    <w:rsid w:val="00344D0F"/>
    <w:rsid w:val="00347B76"/>
    <w:rsid w:val="00347DBC"/>
    <w:rsid w:val="0035040E"/>
    <w:rsid w:val="0035191E"/>
    <w:rsid w:val="00353945"/>
    <w:rsid w:val="00356F43"/>
    <w:rsid w:val="0036081A"/>
    <w:rsid w:val="0036082D"/>
    <w:rsid w:val="003608AA"/>
    <w:rsid w:val="00362D79"/>
    <w:rsid w:val="0036461C"/>
    <w:rsid w:val="00364BBE"/>
    <w:rsid w:val="00364DC1"/>
    <w:rsid w:val="00366884"/>
    <w:rsid w:val="00372681"/>
    <w:rsid w:val="00373357"/>
    <w:rsid w:val="00373D72"/>
    <w:rsid w:val="00373EDB"/>
    <w:rsid w:val="00374E92"/>
    <w:rsid w:val="003754E4"/>
    <w:rsid w:val="0037604D"/>
    <w:rsid w:val="0037664A"/>
    <w:rsid w:val="00376AE0"/>
    <w:rsid w:val="00380432"/>
    <w:rsid w:val="00380C2D"/>
    <w:rsid w:val="003815A0"/>
    <w:rsid w:val="003831A8"/>
    <w:rsid w:val="00385010"/>
    <w:rsid w:val="00385A48"/>
    <w:rsid w:val="003869B8"/>
    <w:rsid w:val="00386CAE"/>
    <w:rsid w:val="0038795F"/>
    <w:rsid w:val="00387C7E"/>
    <w:rsid w:val="00393014"/>
    <w:rsid w:val="00395597"/>
    <w:rsid w:val="0039700D"/>
    <w:rsid w:val="00397113"/>
    <w:rsid w:val="00397306"/>
    <w:rsid w:val="003A263F"/>
    <w:rsid w:val="003A7BFC"/>
    <w:rsid w:val="003B19A0"/>
    <w:rsid w:val="003B34DB"/>
    <w:rsid w:val="003B3CB6"/>
    <w:rsid w:val="003B3EBF"/>
    <w:rsid w:val="003B67B9"/>
    <w:rsid w:val="003B7C80"/>
    <w:rsid w:val="003C093C"/>
    <w:rsid w:val="003C1DA1"/>
    <w:rsid w:val="003C25BB"/>
    <w:rsid w:val="003C2E00"/>
    <w:rsid w:val="003C310D"/>
    <w:rsid w:val="003C4854"/>
    <w:rsid w:val="003C54F9"/>
    <w:rsid w:val="003C5E42"/>
    <w:rsid w:val="003C766C"/>
    <w:rsid w:val="003D070B"/>
    <w:rsid w:val="003D089A"/>
    <w:rsid w:val="003D0F20"/>
    <w:rsid w:val="003D10B7"/>
    <w:rsid w:val="003D24F4"/>
    <w:rsid w:val="003D3E99"/>
    <w:rsid w:val="003D455D"/>
    <w:rsid w:val="003D4C85"/>
    <w:rsid w:val="003D621C"/>
    <w:rsid w:val="003E2C45"/>
    <w:rsid w:val="003E355A"/>
    <w:rsid w:val="003E4205"/>
    <w:rsid w:val="003E5C8C"/>
    <w:rsid w:val="003E65B1"/>
    <w:rsid w:val="003E7B5E"/>
    <w:rsid w:val="003F1317"/>
    <w:rsid w:val="003F6442"/>
    <w:rsid w:val="003F6A36"/>
    <w:rsid w:val="003F75C7"/>
    <w:rsid w:val="004000C0"/>
    <w:rsid w:val="00401086"/>
    <w:rsid w:val="004019A2"/>
    <w:rsid w:val="0040218A"/>
    <w:rsid w:val="00402C1F"/>
    <w:rsid w:val="0040317C"/>
    <w:rsid w:val="00403759"/>
    <w:rsid w:val="00403AD9"/>
    <w:rsid w:val="00404E5D"/>
    <w:rsid w:val="00406DE7"/>
    <w:rsid w:val="00407335"/>
    <w:rsid w:val="00407759"/>
    <w:rsid w:val="00407BE2"/>
    <w:rsid w:val="00410667"/>
    <w:rsid w:val="004107D4"/>
    <w:rsid w:val="0041113F"/>
    <w:rsid w:val="004111DF"/>
    <w:rsid w:val="00411A9A"/>
    <w:rsid w:val="00411FA4"/>
    <w:rsid w:val="004120B6"/>
    <w:rsid w:val="004122DA"/>
    <w:rsid w:val="004137C0"/>
    <w:rsid w:val="00414FBF"/>
    <w:rsid w:val="0041598D"/>
    <w:rsid w:val="00416951"/>
    <w:rsid w:val="004169D1"/>
    <w:rsid w:val="004177A0"/>
    <w:rsid w:val="004216D7"/>
    <w:rsid w:val="004243FA"/>
    <w:rsid w:val="00424EA5"/>
    <w:rsid w:val="004251AF"/>
    <w:rsid w:val="00425C43"/>
    <w:rsid w:val="00426D5B"/>
    <w:rsid w:val="00427C35"/>
    <w:rsid w:val="00433606"/>
    <w:rsid w:val="00433ACD"/>
    <w:rsid w:val="00433E80"/>
    <w:rsid w:val="004342D3"/>
    <w:rsid w:val="00435607"/>
    <w:rsid w:val="0043569C"/>
    <w:rsid w:val="00436760"/>
    <w:rsid w:val="00437BFF"/>
    <w:rsid w:val="00437D55"/>
    <w:rsid w:val="00441C94"/>
    <w:rsid w:val="00441E3A"/>
    <w:rsid w:val="004461C6"/>
    <w:rsid w:val="00446237"/>
    <w:rsid w:val="0045047A"/>
    <w:rsid w:val="00450EA6"/>
    <w:rsid w:val="00455351"/>
    <w:rsid w:val="00455F1F"/>
    <w:rsid w:val="00456D80"/>
    <w:rsid w:val="00460DF4"/>
    <w:rsid w:val="004611E2"/>
    <w:rsid w:val="00461D94"/>
    <w:rsid w:val="00462A31"/>
    <w:rsid w:val="004631F5"/>
    <w:rsid w:val="004634AB"/>
    <w:rsid w:val="0046384D"/>
    <w:rsid w:val="00464FFF"/>
    <w:rsid w:val="00465A5F"/>
    <w:rsid w:val="00467507"/>
    <w:rsid w:val="00471EB9"/>
    <w:rsid w:val="00472E83"/>
    <w:rsid w:val="004730E1"/>
    <w:rsid w:val="004731B7"/>
    <w:rsid w:val="00474EE9"/>
    <w:rsid w:val="00481820"/>
    <w:rsid w:val="00482283"/>
    <w:rsid w:val="004827B8"/>
    <w:rsid w:val="0048296B"/>
    <w:rsid w:val="00483977"/>
    <w:rsid w:val="0048549F"/>
    <w:rsid w:val="0048644F"/>
    <w:rsid w:val="00486D94"/>
    <w:rsid w:val="00487961"/>
    <w:rsid w:val="0049044E"/>
    <w:rsid w:val="0049298A"/>
    <w:rsid w:val="00492BFB"/>
    <w:rsid w:val="004934C3"/>
    <w:rsid w:val="00494414"/>
    <w:rsid w:val="004947C5"/>
    <w:rsid w:val="004952D6"/>
    <w:rsid w:val="004A1671"/>
    <w:rsid w:val="004A1CD4"/>
    <w:rsid w:val="004A2A1A"/>
    <w:rsid w:val="004A2EE2"/>
    <w:rsid w:val="004A2F0E"/>
    <w:rsid w:val="004A318F"/>
    <w:rsid w:val="004A37FB"/>
    <w:rsid w:val="004A4B41"/>
    <w:rsid w:val="004A58B2"/>
    <w:rsid w:val="004A709C"/>
    <w:rsid w:val="004B12A1"/>
    <w:rsid w:val="004B1E15"/>
    <w:rsid w:val="004B2822"/>
    <w:rsid w:val="004B6CEB"/>
    <w:rsid w:val="004B77D4"/>
    <w:rsid w:val="004B7924"/>
    <w:rsid w:val="004C0205"/>
    <w:rsid w:val="004C0D1A"/>
    <w:rsid w:val="004C2722"/>
    <w:rsid w:val="004C401A"/>
    <w:rsid w:val="004C5454"/>
    <w:rsid w:val="004C5BC5"/>
    <w:rsid w:val="004C64E9"/>
    <w:rsid w:val="004D2DF7"/>
    <w:rsid w:val="004D4822"/>
    <w:rsid w:val="004D482D"/>
    <w:rsid w:val="004D538A"/>
    <w:rsid w:val="004D5BBF"/>
    <w:rsid w:val="004D7B93"/>
    <w:rsid w:val="004E1014"/>
    <w:rsid w:val="004E22E6"/>
    <w:rsid w:val="004E3CE0"/>
    <w:rsid w:val="004E4BB7"/>
    <w:rsid w:val="004E5512"/>
    <w:rsid w:val="004F00A4"/>
    <w:rsid w:val="004F062E"/>
    <w:rsid w:val="004F0C4B"/>
    <w:rsid w:val="004F0D40"/>
    <w:rsid w:val="004F1088"/>
    <w:rsid w:val="004F296E"/>
    <w:rsid w:val="004F3068"/>
    <w:rsid w:val="004F4801"/>
    <w:rsid w:val="004F59B3"/>
    <w:rsid w:val="004F657C"/>
    <w:rsid w:val="004F6900"/>
    <w:rsid w:val="00500BAB"/>
    <w:rsid w:val="005037A0"/>
    <w:rsid w:val="00503B4E"/>
    <w:rsid w:val="0051228B"/>
    <w:rsid w:val="00513144"/>
    <w:rsid w:val="005155C6"/>
    <w:rsid w:val="0051785F"/>
    <w:rsid w:val="00517937"/>
    <w:rsid w:val="00517F8C"/>
    <w:rsid w:val="00520D0F"/>
    <w:rsid w:val="005213BC"/>
    <w:rsid w:val="0052146D"/>
    <w:rsid w:val="00521F5E"/>
    <w:rsid w:val="0052263A"/>
    <w:rsid w:val="00522E09"/>
    <w:rsid w:val="005248B6"/>
    <w:rsid w:val="00525B18"/>
    <w:rsid w:val="00527BA4"/>
    <w:rsid w:val="00530478"/>
    <w:rsid w:val="005312CE"/>
    <w:rsid w:val="00532149"/>
    <w:rsid w:val="00533155"/>
    <w:rsid w:val="00535EF2"/>
    <w:rsid w:val="00537166"/>
    <w:rsid w:val="005405A9"/>
    <w:rsid w:val="0054299B"/>
    <w:rsid w:val="005501F5"/>
    <w:rsid w:val="00552742"/>
    <w:rsid w:val="00552839"/>
    <w:rsid w:val="00552C88"/>
    <w:rsid w:val="00552F99"/>
    <w:rsid w:val="00554180"/>
    <w:rsid w:val="005542E6"/>
    <w:rsid w:val="00554551"/>
    <w:rsid w:val="005546B9"/>
    <w:rsid w:val="00555044"/>
    <w:rsid w:val="00555CAE"/>
    <w:rsid w:val="00556CE2"/>
    <w:rsid w:val="00560C88"/>
    <w:rsid w:val="00562F12"/>
    <w:rsid w:val="005654A6"/>
    <w:rsid w:val="0056662E"/>
    <w:rsid w:val="0056688E"/>
    <w:rsid w:val="005676E0"/>
    <w:rsid w:val="0057094D"/>
    <w:rsid w:val="00574F10"/>
    <w:rsid w:val="00580024"/>
    <w:rsid w:val="00580BCE"/>
    <w:rsid w:val="00582C4D"/>
    <w:rsid w:val="005844C7"/>
    <w:rsid w:val="00584AA2"/>
    <w:rsid w:val="00587A09"/>
    <w:rsid w:val="00590AF1"/>
    <w:rsid w:val="005917E7"/>
    <w:rsid w:val="005921FA"/>
    <w:rsid w:val="0059256E"/>
    <w:rsid w:val="005942E8"/>
    <w:rsid w:val="00595559"/>
    <w:rsid w:val="0059589A"/>
    <w:rsid w:val="00596142"/>
    <w:rsid w:val="00596DD0"/>
    <w:rsid w:val="00597407"/>
    <w:rsid w:val="005A0A9F"/>
    <w:rsid w:val="005A15F2"/>
    <w:rsid w:val="005A1AFA"/>
    <w:rsid w:val="005A364F"/>
    <w:rsid w:val="005A6282"/>
    <w:rsid w:val="005A6A01"/>
    <w:rsid w:val="005A722D"/>
    <w:rsid w:val="005A772E"/>
    <w:rsid w:val="005B0D6D"/>
    <w:rsid w:val="005B0DD7"/>
    <w:rsid w:val="005B12D8"/>
    <w:rsid w:val="005B13A2"/>
    <w:rsid w:val="005B2604"/>
    <w:rsid w:val="005B4023"/>
    <w:rsid w:val="005B4F73"/>
    <w:rsid w:val="005B522E"/>
    <w:rsid w:val="005B695D"/>
    <w:rsid w:val="005B6F36"/>
    <w:rsid w:val="005B7418"/>
    <w:rsid w:val="005C0AA8"/>
    <w:rsid w:val="005C4F42"/>
    <w:rsid w:val="005C6947"/>
    <w:rsid w:val="005D1480"/>
    <w:rsid w:val="005D2839"/>
    <w:rsid w:val="005D2B18"/>
    <w:rsid w:val="005D4B29"/>
    <w:rsid w:val="005D5362"/>
    <w:rsid w:val="005D6A75"/>
    <w:rsid w:val="005E28C1"/>
    <w:rsid w:val="005E55BC"/>
    <w:rsid w:val="005E5F4A"/>
    <w:rsid w:val="005E6571"/>
    <w:rsid w:val="005F0717"/>
    <w:rsid w:val="005F099A"/>
    <w:rsid w:val="005F0B62"/>
    <w:rsid w:val="005F15EF"/>
    <w:rsid w:val="005F1C58"/>
    <w:rsid w:val="005F29D5"/>
    <w:rsid w:val="005F5DCC"/>
    <w:rsid w:val="005F6C1C"/>
    <w:rsid w:val="005F7374"/>
    <w:rsid w:val="005F7680"/>
    <w:rsid w:val="00600423"/>
    <w:rsid w:val="00600B0A"/>
    <w:rsid w:val="00602D10"/>
    <w:rsid w:val="00604309"/>
    <w:rsid w:val="006048D7"/>
    <w:rsid w:val="00604A65"/>
    <w:rsid w:val="00605C70"/>
    <w:rsid w:val="00606B02"/>
    <w:rsid w:val="00607C29"/>
    <w:rsid w:val="006119FF"/>
    <w:rsid w:val="00612468"/>
    <w:rsid w:val="006127E4"/>
    <w:rsid w:val="00612E17"/>
    <w:rsid w:val="006135F6"/>
    <w:rsid w:val="006159D6"/>
    <w:rsid w:val="006203F4"/>
    <w:rsid w:val="00621D44"/>
    <w:rsid w:val="00625F34"/>
    <w:rsid w:val="00626ACA"/>
    <w:rsid w:val="0062723C"/>
    <w:rsid w:val="006274AC"/>
    <w:rsid w:val="0062780D"/>
    <w:rsid w:val="00627856"/>
    <w:rsid w:val="00632CD8"/>
    <w:rsid w:val="00633053"/>
    <w:rsid w:val="006368C3"/>
    <w:rsid w:val="006371EF"/>
    <w:rsid w:val="006379BA"/>
    <w:rsid w:val="00640BD1"/>
    <w:rsid w:val="00645955"/>
    <w:rsid w:val="00645E73"/>
    <w:rsid w:val="00645FEA"/>
    <w:rsid w:val="00651D7A"/>
    <w:rsid w:val="00653C41"/>
    <w:rsid w:val="00655F33"/>
    <w:rsid w:val="006570E7"/>
    <w:rsid w:val="00657DD7"/>
    <w:rsid w:val="00662540"/>
    <w:rsid w:val="00663DAF"/>
    <w:rsid w:val="0066428E"/>
    <w:rsid w:val="00665231"/>
    <w:rsid w:val="00670CF5"/>
    <w:rsid w:val="00671006"/>
    <w:rsid w:val="006716BA"/>
    <w:rsid w:val="00672C20"/>
    <w:rsid w:val="00674C88"/>
    <w:rsid w:val="00675987"/>
    <w:rsid w:val="00675B1B"/>
    <w:rsid w:val="00676761"/>
    <w:rsid w:val="00676E86"/>
    <w:rsid w:val="00677DA8"/>
    <w:rsid w:val="006842D3"/>
    <w:rsid w:val="00685356"/>
    <w:rsid w:val="00685B7A"/>
    <w:rsid w:val="00687DF7"/>
    <w:rsid w:val="006905B0"/>
    <w:rsid w:val="00690C18"/>
    <w:rsid w:val="00690E81"/>
    <w:rsid w:val="0069227C"/>
    <w:rsid w:val="0069275E"/>
    <w:rsid w:val="0069513D"/>
    <w:rsid w:val="00697B2E"/>
    <w:rsid w:val="006A0305"/>
    <w:rsid w:val="006A277F"/>
    <w:rsid w:val="006A37ED"/>
    <w:rsid w:val="006A5A6C"/>
    <w:rsid w:val="006A5E7F"/>
    <w:rsid w:val="006A6099"/>
    <w:rsid w:val="006A68AD"/>
    <w:rsid w:val="006A744F"/>
    <w:rsid w:val="006B178C"/>
    <w:rsid w:val="006B1ACA"/>
    <w:rsid w:val="006B39D6"/>
    <w:rsid w:val="006B56A4"/>
    <w:rsid w:val="006B7467"/>
    <w:rsid w:val="006C23D2"/>
    <w:rsid w:val="006C6F35"/>
    <w:rsid w:val="006C741C"/>
    <w:rsid w:val="006D0169"/>
    <w:rsid w:val="006D01F7"/>
    <w:rsid w:val="006D04F1"/>
    <w:rsid w:val="006D1638"/>
    <w:rsid w:val="006D21D0"/>
    <w:rsid w:val="006D2380"/>
    <w:rsid w:val="006D2B6A"/>
    <w:rsid w:val="006D33BB"/>
    <w:rsid w:val="006D44AD"/>
    <w:rsid w:val="006D4A9D"/>
    <w:rsid w:val="006D5A20"/>
    <w:rsid w:val="006D7CE7"/>
    <w:rsid w:val="006E14EF"/>
    <w:rsid w:val="006E2C58"/>
    <w:rsid w:val="006E3072"/>
    <w:rsid w:val="006F0140"/>
    <w:rsid w:val="006F1BED"/>
    <w:rsid w:val="006F4ED0"/>
    <w:rsid w:val="006F5656"/>
    <w:rsid w:val="006F781E"/>
    <w:rsid w:val="006F78E9"/>
    <w:rsid w:val="006F7EA4"/>
    <w:rsid w:val="00701204"/>
    <w:rsid w:val="00701634"/>
    <w:rsid w:val="00703E93"/>
    <w:rsid w:val="00704026"/>
    <w:rsid w:val="00704914"/>
    <w:rsid w:val="00705B24"/>
    <w:rsid w:val="00712F00"/>
    <w:rsid w:val="007173DC"/>
    <w:rsid w:val="00717A5D"/>
    <w:rsid w:val="00730015"/>
    <w:rsid w:val="00730C9F"/>
    <w:rsid w:val="0073210B"/>
    <w:rsid w:val="00732ACF"/>
    <w:rsid w:val="007334C0"/>
    <w:rsid w:val="0073411F"/>
    <w:rsid w:val="007359A7"/>
    <w:rsid w:val="007377C9"/>
    <w:rsid w:val="0074023B"/>
    <w:rsid w:val="007403A6"/>
    <w:rsid w:val="00741EFD"/>
    <w:rsid w:val="007424C5"/>
    <w:rsid w:val="0074344B"/>
    <w:rsid w:val="00746060"/>
    <w:rsid w:val="0075043E"/>
    <w:rsid w:val="00750C53"/>
    <w:rsid w:val="0075533B"/>
    <w:rsid w:val="0076048E"/>
    <w:rsid w:val="007605CE"/>
    <w:rsid w:val="007609F3"/>
    <w:rsid w:val="00761260"/>
    <w:rsid w:val="00761ACC"/>
    <w:rsid w:val="00761C0A"/>
    <w:rsid w:val="007665D7"/>
    <w:rsid w:val="0076764D"/>
    <w:rsid w:val="007679E8"/>
    <w:rsid w:val="00767E22"/>
    <w:rsid w:val="00767EF4"/>
    <w:rsid w:val="00770BA8"/>
    <w:rsid w:val="00770CF7"/>
    <w:rsid w:val="00772E06"/>
    <w:rsid w:val="0077415C"/>
    <w:rsid w:val="00775776"/>
    <w:rsid w:val="00775E67"/>
    <w:rsid w:val="00776E4E"/>
    <w:rsid w:val="00777380"/>
    <w:rsid w:val="00783F6C"/>
    <w:rsid w:val="00787000"/>
    <w:rsid w:val="007870D8"/>
    <w:rsid w:val="00787F2A"/>
    <w:rsid w:val="007912B5"/>
    <w:rsid w:val="007915FB"/>
    <w:rsid w:val="00791C8C"/>
    <w:rsid w:val="0079350A"/>
    <w:rsid w:val="007939FC"/>
    <w:rsid w:val="00796AB6"/>
    <w:rsid w:val="007A0EEF"/>
    <w:rsid w:val="007A1A90"/>
    <w:rsid w:val="007A35F5"/>
    <w:rsid w:val="007A52C2"/>
    <w:rsid w:val="007A5CCA"/>
    <w:rsid w:val="007A6726"/>
    <w:rsid w:val="007B0099"/>
    <w:rsid w:val="007B2007"/>
    <w:rsid w:val="007B23BF"/>
    <w:rsid w:val="007B4684"/>
    <w:rsid w:val="007B6BA1"/>
    <w:rsid w:val="007B7D7E"/>
    <w:rsid w:val="007B7D89"/>
    <w:rsid w:val="007C03CD"/>
    <w:rsid w:val="007C0D90"/>
    <w:rsid w:val="007C0FC1"/>
    <w:rsid w:val="007C1851"/>
    <w:rsid w:val="007C6BE5"/>
    <w:rsid w:val="007C7246"/>
    <w:rsid w:val="007D1E6A"/>
    <w:rsid w:val="007D5FA1"/>
    <w:rsid w:val="007D6083"/>
    <w:rsid w:val="007D71FA"/>
    <w:rsid w:val="007D7F62"/>
    <w:rsid w:val="007E0BF3"/>
    <w:rsid w:val="007E12F0"/>
    <w:rsid w:val="007E313E"/>
    <w:rsid w:val="007E5E52"/>
    <w:rsid w:val="007F3439"/>
    <w:rsid w:val="007F46FE"/>
    <w:rsid w:val="007F55A6"/>
    <w:rsid w:val="007F5B71"/>
    <w:rsid w:val="007F5C45"/>
    <w:rsid w:val="007F667E"/>
    <w:rsid w:val="007F7B77"/>
    <w:rsid w:val="008006AD"/>
    <w:rsid w:val="0080086F"/>
    <w:rsid w:val="008017BA"/>
    <w:rsid w:val="008044D1"/>
    <w:rsid w:val="00805DA2"/>
    <w:rsid w:val="008067F1"/>
    <w:rsid w:val="00807603"/>
    <w:rsid w:val="0081010B"/>
    <w:rsid w:val="00810320"/>
    <w:rsid w:val="0081184E"/>
    <w:rsid w:val="008128A1"/>
    <w:rsid w:val="00812FCF"/>
    <w:rsid w:val="00813130"/>
    <w:rsid w:val="00814BDE"/>
    <w:rsid w:val="00815E22"/>
    <w:rsid w:val="00816263"/>
    <w:rsid w:val="00820802"/>
    <w:rsid w:val="00820D10"/>
    <w:rsid w:val="00821A90"/>
    <w:rsid w:val="00823542"/>
    <w:rsid w:val="00824684"/>
    <w:rsid w:val="008254A7"/>
    <w:rsid w:val="00825642"/>
    <w:rsid w:val="00826208"/>
    <w:rsid w:val="00826E6C"/>
    <w:rsid w:val="00827BBE"/>
    <w:rsid w:val="00830397"/>
    <w:rsid w:val="00831216"/>
    <w:rsid w:val="008316D4"/>
    <w:rsid w:val="00831FEA"/>
    <w:rsid w:val="008324AF"/>
    <w:rsid w:val="0083260D"/>
    <w:rsid w:val="00832BC2"/>
    <w:rsid w:val="00834876"/>
    <w:rsid w:val="00834B38"/>
    <w:rsid w:val="00835A18"/>
    <w:rsid w:val="00835D61"/>
    <w:rsid w:val="008363E2"/>
    <w:rsid w:val="0083645B"/>
    <w:rsid w:val="0084003C"/>
    <w:rsid w:val="00840305"/>
    <w:rsid w:val="00840D5A"/>
    <w:rsid w:val="00844254"/>
    <w:rsid w:val="00846729"/>
    <w:rsid w:val="00846D53"/>
    <w:rsid w:val="00846FD2"/>
    <w:rsid w:val="00847A0D"/>
    <w:rsid w:val="00850EA7"/>
    <w:rsid w:val="00852F3A"/>
    <w:rsid w:val="008533D1"/>
    <w:rsid w:val="00856F52"/>
    <w:rsid w:val="008578FD"/>
    <w:rsid w:val="008610C6"/>
    <w:rsid w:val="00863D87"/>
    <w:rsid w:val="00865A6C"/>
    <w:rsid w:val="008702E9"/>
    <w:rsid w:val="008705EF"/>
    <w:rsid w:val="00873243"/>
    <w:rsid w:val="00873672"/>
    <w:rsid w:val="00874A9B"/>
    <w:rsid w:val="00876C16"/>
    <w:rsid w:val="00877274"/>
    <w:rsid w:val="008806DA"/>
    <w:rsid w:val="008838FC"/>
    <w:rsid w:val="0088472C"/>
    <w:rsid w:val="00886B03"/>
    <w:rsid w:val="008871B7"/>
    <w:rsid w:val="0089144B"/>
    <w:rsid w:val="00892C56"/>
    <w:rsid w:val="00892E94"/>
    <w:rsid w:val="00893619"/>
    <w:rsid w:val="00893971"/>
    <w:rsid w:val="00895FA1"/>
    <w:rsid w:val="00896284"/>
    <w:rsid w:val="00896A09"/>
    <w:rsid w:val="00896DE0"/>
    <w:rsid w:val="008A149A"/>
    <w:rsid w:val="008A3251"/>
    <w:rsid w:val="008A3DEC"/>
    <w:rsid w:val="008A45DB"/>
    <w:rsid w:val="008A6D45"/>
    <w:rsid w:val="008A7E2C"/>
    <w:rsid w:val="008B2804"/>
    <w:rsid w:val="008B2C8E"/>
    <w:rsid w:val="008B2D14"/>
    <w:rsid w:val="008B44D2"/>
    <w:rsid w:val="008B5A2E"/>
    <w:rsid w:val="008B66B2"/>
    <w:rsid w:val="008B7C9C"/>
    <w:rsid w:val="008C014B"/>
    <w:rsid w:val="008C18F3"/>
    <w:rsid w:val="008C2F06"/>
    <w:rsid w:val="008C54C6"/>
    <w:rsid w:val="008C55E1"/>
    <w:rsid w:val="008C56B1"/>
    <w:rsid w:val="008C67FF"/>
    <w:rsid w:val="008D09E7"/>
    <w:rsid w:val="008D0D10"/>
    <w:rsid w:val="008D106D"/>
    <w:rsid w:val="008D5D66"/>
    <w:rsid w:val="008D62A2"/>
    <w:rsid w:val="008D7749"/>
    <w:rsid w:val="008D7AEF"/>
    <w:rsid w:val="008E030A"/>
    <w:rsid w:val="008E04B5"/>
    <w:rsid w:val="008E1690"/>
    <w:rsid w:val="008E21C4"/>
    <w:rsid w:val="008E3C0D"/>
    <w:rsid w:val="008E3D02"/>
    <w:rsid w:val="008E45E1"/>
    <w:rsid w:val="008E45F2"/>
    <w:rsid w:val="008E53BF"/>
    <w:rsid w:val="008E5C03"/>
    <w:rsid w:val="008E5CCD"/>
    <w:rsid w:val="008E70C5"/>
    <w:rsid w:val="008F00EC"/>
    <w:rsid w:val="008F13A6"/>
    <w:rsid w:val="008F1701"/>
    <w:rsid w:val="008F1D27"/>
    <w:rsid w:val="008F2303"/>
    <w:rsid w:val="008F23C5"/>
    <w:rsid w:val="008F2D5F"/>
    <w:rsid w:val="008F4350"/>
    <w:rsid w:val="008F49EA"/>
    <w:rsid w:val="008F6F3B"/>
    <w:rsid w:val="008F731A"/>
    <w:rsid w:val="008F7438"/>
    <w:rsid w:val="00901412"/>
    <w:rsid w:val="009030FE"/>
    <w:rsid w:val="0090378D"/>
    <w:rsid w:val="00904EBE"/>
    <w:rsid w:val="0090521C"/>
    <w:rsid w:val="00905603"/>
    <w:rsid w:val="00905613"/>
    <w:rsid w:val="00906A6A"/>
    <w:rsid w:val="009123FE"/>
    <w:rsid w:val="009133A2"/>
    <w:rsid w:val="00913E9F"/>
    <w:rsid w:val="0091431A"/>
    <w:rsid w:val="00914D06"/>
    <w:rsid w:val="009155DB"/>
    <w:rsid w:val="009159B3"/>
    <w:rsid w:val="00915AF9"/>
    <w:rsid w:val="00915E5E"/>
    <w:rsid w:val="00916283"/>
    <w:rsid w:val="009220DE"/>
    <w:rsid w:val="0092374B"/>
    <w:rsid w:val="009256A4"/>
    <w:rsid w:val="00925F34"/>
    <w:rsid w:val="00930019"/>
    <w:rsid w:val="00931449"/>
    <w:rsid w:val="00933924"/>
    <w:rsid w:val="009351C8"/>
    <w:rsid w:val="00935BA4"/>
    <w:rsid w:val="0093785F"/>
    <w:rsid w:val="00937CE2"/>
    <w:rsid w:val="009407FF"/>
    <w:rsid w:val="00940BEE"/>
    <w:rsid w:val="00940CEF"/>
    <w:rsid w:val="00940FBC"/>
    <w:rsid w:val="00941088"/>
    <w:rsid w:val="00941F99"/>
    <w:rsid w:val="00942593"/>
    <w:rsid w:val="0094457B"/>
    <w:rsid w:val="009446B3"/>
    <w:rsid w:val="00947B98"/>
    <w:rsid w:val="00947FC4"/>
    <w:rsid w:val="00951BC2"/>
    <w:rsid w:val="009539C3"/>
    <w:rsid w:val="009541F6"/>
    <w:rsid w:val="0095470F"/>
    <w:rsid w:val="0095597F"/>
    <w:rsid w:val="009560AA"/>
    <w:rsid w:val="00960954"/>
    <w:rsid w:val="00960A06"/>
    <w:rsid w:val="00960C4C"/>
    <w:rsid w:val="009613D9"/>
    <w:rsid w:val="009648BA"/>
    <w:rsid w:val="00964C2C"/>
    <w:rsid w:val="009656C1"/>
    <w:rsid w:val="00965EAC"/>
    <w:rsid w:val="0096720C"/>
    <w:rsid w:val="0097065A"/>
    <w:rsid w:val="00971058"/>
    <w:rsid w:val="00972BAA"/>
    <w:rsid w:val="00973886"/>
    <w:rsid w:val="00975BA7"/>
    <w:rsid w:val="00976F39"/>
    <w:rsid w:val="009816E3"/>
    <w:rsid w:val="0098677F"/>
    <w:rsid w:val="00986AD6"/>
    <w:rsid w:val="00987B8A"/>
    <w:rsid w:val="00990CB1"/>
    <w:rsid w:val="009911EC"/>
    <w:rsid w:val="00992B01"/>
    <w:rsid w:val="00993E36"/>
    <w:rsid w:val="00993ECC"/>
    <w:rsid w:val="00997D7F"/>
    <w:rsid w:val="009A27A4"/>
    <w:rsid w:val="009A2FDA"/>
    <w:rsid w:val="009A4510"/>
    <w:rsid w:val="009A62AC"/>
    <w:rsid w:val="009A6F92"/>
    <w:rsid w:val="009A7B70"/>
    <w:rsid w:val="009B0465"/>
    <w:rsid w:val="009B12BD"/>
    <w:rsid w:val="009B2776"/>
    <w:rsid w:val="009B394C"/>
    <w:rsid w:val="009B3A90"/>
    <w:rsid w:val="009B4BC7"/>
    <w:rsid w:val="009B4C03"/>
    <w:rsid w:val="009C05BD"/>
    <w:rsid w:val="009C1593"/>
    <w:rsid w:val="009C339C"/>
    <w:rsid w:val="009C49F0"/>
    <w:rsid w:val="009C52D4"/>
    <w:rsid w:val="009C74EA"/>
    <w:rsid w:val="009C79D2"/>
    <w:rsid w:val="009D09DD"/>
    <w:rsid w:val="009D21D4"/>
    <w:rsid w:val="009D2B60"/>
    <w:rsid w:val="009D36C4"/>
    <w:rsid w:val="009E2E3C"/>
    <w:rsid w:val="009E30F5"/>
    <w:rsid w:val="009E37C6"/>
    <w:rsid w:val="009E4A80"/>
    <w:rsid w:val="009E4CF5"/>
    <w:rsid w:val="009E5456"/>
    <w:rsid w:val="009E5621"/>
    <w:rsid w:val="009E589D"/>
    <w:rsid w:val="009E781E"/>
    <w:rsid w:val="009E7EA5"/>
    <w:rsid w:val="009F05D0"/>
    <w:rsid w:val="009F1ADA"/>
    <w:rsid w:val="009F20E0"/>
    <w:rsid w:val="009F2E0D"/>
    <w:rsid w:val="009F3CFA"/>
    <w:rsid w:val="009F7D14"/>
    <w:rsid w:val="00A00EA1"/>
    <w:rsid w:val="00A01207"/>
    <w:rsid w:val="00A01F3E"/>
    <w:rsid w:val="00A02EB7"/>
    <w:rsid w:val="00A04177"/>
    <w:rsid w:val="00A06166"/>
    <w:rsid w:val="00A067AB"/>
    <w:rsid w:val="00A12883"/>
    <w:rsid w:val="00A16DC9"/>
    <w:rsid w:val="00A172B8"/>
    <w:rsid w:val="00A175E4"/>
    <w:rsid w:val="00A1781F"/>
    <w:rsid w:val="00A17F2B"/>
    <w:rsid w:val="00A20B2D"/>
    <w:rsid w:val="00A21C6A"/>
    <w:rsid w:val="00A22FB1"/>
    <w:rsid w:val="00A22FC2"/>
    <w:rsid w:val="00A23E4D"/>
    <w:rsid w:val="00A24B49"/>
    <w:rsid w:val="00A25A46"/>
    <w:rsid w:val="00A2638C"/>
    <w:rsid w:val="00A26C62"/>
    <w:rsid w:val="00A305CE"/>
    <w:rsid w:val="00A31539"/>
    <w:rsid w:val="00A31DB6"/>
    <w:rsid w:val="00A32C8F"/>
    <w:rsid w:val="00A34F62"/>
    <w:rsid w:val="00A411B9"/>
    <w:rsid w:val="00A43183"/>
    <w:rsid w:val="00A44FBE"/>
    <w:rsid w:val="00A46E1B"/>
    <w:rsid w:val="00A5278A"/>
    <w:rsid w:val="00A530FA"/>
    <w:rsid w:val="00A53461"/>
    <w:rsid w:val="00A53B1F"/>
    <w:rsid w:val="00A54004"/>
    <w:rsid w:val="00A56159"/>
    <w:rsid w:val="00A56FD7"/>
    <w:rsid w:val="00A57DD5"/>
    <w:rsid w:val="00A57FCA"/>
    <w:rsid w:val="00A61038"/>
    <w:rsid w:val="00A64284"/>
    <w:rsid w:val="00A6482C"/>
    <w:rsid w:val="00A64F80"/>
    <w:rsid w:val="00A653E0"/>
    <w:rsid w:val="00A655ED"/>
    <w:rsid w:val="00A66EC4"/>
    <w:rsid w:val="00A677DC"/>
    <w:rsid w:val="00A67C26"/>
    <w:rsid w:val="00A70AC5"/>
    <w:rsid w:val="00A72C6C"/>
    <w:rsid w:val="00A72FFA"/>
    <w:rsid w:val="00A74690"/>
    <w:rsid w:val="00A7487D"/>
    <w:rsid w:val="00A74F5E"/>
    <w:rsid w:val="00A757C7"/>
    <w:rsid w:val="00A75F97"/>
    <w:rsid w:val="00A769BD"/>
    <w:rsid w:val="00A76E29"/>
    <w:rsid w:val="00A8068D"/>
    <w:rsid w:val="00A81260"/>
    <w:rsid w:val="00A813CA"/>
    <w:rsid w:val="00A82B6D"/>
    <w:rsid w:val="00A833FA"/>
    <w:rsid w:val="00A84341"/>
    <w:rsid w:val="00A84D01"/>
    <w:rsid w:val="00A85702"/>
    <w:rsid w:val="00A869B9"/>
    <w:rsid w:val="00A8796C"/>
    <w:rsid w:val="00A902D9"/>
    <w:rsid w:val="00A905AE"/>
    <w:rsid w:val="00A90D31"/>
    <w:rsid w:val="00A91618"/>
    <w:rsid w:val="00A924E5"/>
    <w:rsid w:val="00A92FAE"/>
    <w:rsid w:val="00A931B7"/>
    <w:rsid w:val="00A964A8"/>
    <w:rsid w:val="00AA2192"/>
    <w:rsid w:val="00AA2333"/>
    <w:rsid w:val="00AA23BF"/>
    <w:rsid w:val="00AA30D7"/>
    <w:rsid w:val="00AA3CFF"/>
    <w:rsid w:val="00AA5A8C"/>
    <w:rsid w:val="00AA5D4C"/>
    <w:rsid w:val="00AA6796"/>
    <w:rsid w:val="00AA7F6C"/>
    <w:rsid w:val="00AB294D"/>
    <w:rsid w:val="00AB57E7"/>
    <w:rsid w:val="00AB604A"/>
    <w:rsid w:val="00AB6911"/>
    <w:rsid w:val="00AB695A"/>
    <w:rsid w:val="00AC082F"/>
    <w:rsid w:val="00AC2FDA"/>
    <w:rsid w:val="00AC668A"/>
    <w:rsid w:val="00AC69BF"/>
    <w:rsid w:val="00AD0B36"/>
    <w:rsid w:val="00AD1B71"/>
    <w:rsid w:val="00AD22B1"/>
    <w:rsid w:val="00AD39FD"/>
    <w:rsid w:val="00AD5990"/>
    <w:rsid w:val="00AE1864"/>
    <w:rsid w:val="00AE74D6"/>
    <w:rsid w:val="00AE77FD"/>
    <w:rsid w:val="00AF01B7"/>
    <w:rsid w:val="00AF192B"/>
    <w:rsid w:val="00AF240F"/>
    <w:rsid w:val="00AF2715"/>
    <w:rsid w:val="00AF3360"/>
    <w:rsid w:val="00AF4096"/>
    <w:rsid w:val="00AF53C2"/>
    <w:rsid w:val="00AF5CCD"/>
    <w:rsid w:val="00AF5D91"/>
    <w:rsid w:val="00B002D7"/>
    <w:rsid w:val="00B011C9"/>
    <w:rsid w:val="00B01759"/>
    <w:rsid w:val="00B01C73"/>
    <w:rsid w:val="00B01D6C"/>
    <w:rsid w:val="00B033BC"/>
    <w:rsid w:val="00B034AC"/>
    <w:rsid w:val="00B03826"/>
    <w:rsid w:val="00B046EB"/>
    <w:rsid w:val="00B05793"/>
    <w:rsid w:val="00B05B2F"/>
    <w:rsid w:val="00B0652B"/>
    <w:rsid w:val="00B07FBF"/>
    <w:rsid w:val="00B10B20"/>
    <w:rsid w:val="00B12E05"/>
    <w:rsid w:val="00B12F40"/>
    <w:rsid w:val="00B14365"/>
    <w:rsid w:val="00B170B3"/>
    <w:rsid w:val="00B1730F"/>
    <w:rsid w:val="00B1757C"/>
    <w:rsid w:val="00B20A08"/>
    <w:rsid w:val="00B216DE"/>
    <w:rsid w:val="00B2268C"/>
    <w:rsid w:val="00B23487"/>
    <w:rsid w:val="00B23600"/>
    <w:rsid w:val="00B244E5"/>
    <w:rsid w:val="00B24886"/>
    <w:rsid w:val="00B25796"/>
    <w:rsid w:val="00B2613D"/>
    <w:rsid w:val="00B26757"/>
    <w:rsid w:val="00B30A4B"/>
    <w:rsid w:val="00B30F47"/>
    <w:rsid w:val="00B32B16"/>
    <w:rsid w:val="00B34273"/>
    <w:rsid w:val="00B35470"/>
    <w:rsid w:val="00B36401"/>
    <w:rsid w:val="00B40FCA"/>
    <w:rsid w:val="00B4134F"/>
    <w:rsid w:val="00B417FF"/>
    <w:rsid w:val="00B41A7D"/>
    <w:rsid w:val="00B464FA"/>
    <w:rsid w:val="00B4668F"/>
    <w:rsid w:val="00B46D11"/>
    <w:rsid w:val="00B46D2C"/>
    <w:rsid w:val="00B515D9"/>
    <w:rsid w:val="00B52D47"/>
    <w:rsid w:val="00B544B0"/>
    <w:rsid w:val="00B55363"/>
    <w:rsid w:val="00B55423"/>
    <w:rsid w:val="00B556A3"/>
    <w:rsid w:val="00B5591E"/>
    <w:rsid w:val="00B56E34"/>
    <w:rsid w:val="00B5755A"/>
    <w:rsid w:val="00B57D96"/>
    <w:rsid w:val="00B600D2"/>
    <w:rsid w:val="00B61008"/>
    <w:rsid w:val="00B63AA1"/>
    <w:rsid w:val="00B64546"/>
    <w:rsid w:val="00B65568"/>
    <w:rsid w:val="00B67B9B"/>
    <w:rsid w:val="00B70A3E"/>
    <w:rsid w:val="00B72600"/>
    <w:rsid w:val="00B740F9"/>
    <w:rsid w:val="00B74BED"/>
    <w:rsid w:val="00B74F6B"/>
    <w:rsid w:val="00B765FB"/>
    <w:rsid w:val="00B80DA4"/>
    <w:rsid w:val="00B81D54"/>
    <w:rsid w:val="00B83102"/>
    <w:rsid w:val="00B84ACD"/>
    <w:rsid w:val="00B87839"/>
    <w:rsid w:val="00B87FEB"/>
    <w:rsid w:val="00B90EF7"/>
    <w:rsid w:val="00B91DE1"/>
    <w:rsid w:val="00B927BC"/>
    <w:rsid w:val="00B92EEB"/>
    <w:rsid w:val="00B93338"/>
    <w:rsid w:val="00B93E3E"/>
    <w:rsid w:val="00B94433"/>
    <w:rsid w:val="00B954AA"/>
    <w:rsid w:val="00B95B32"/>
    <w:rsid w:val="00B97EC0"/>
    <w:rsid w:val="00BA0002"/>
    <w:rsid w:val="00BA0103"/>
    <w:rsid w:val="00BA080E"/>
    <w:rsid w:val="00BA08B8"/>
    <w:rsid w:val="00BA1E95"/>
    <w:rsid w:val="00BA228E"/>
    <w:rsid w:val="00BA6697"/>
    <w:rsid w:val="00BB0108"/>
    <w:rsid w:val="00BB0F1E"/>
    <w:rsid w:val="00BB0FA3"/>
    <w:rsid w:val="00BB180B"/>
    <w:rsid w:val="00BB198B"/>
    <w:rsid w:val="00BB388B"/>
    <w:rsid w:val="00BB3DAB"/>
    <w:rsid w:val="00BB4062"/>
    <w:rsid w:val="00BB48FC"/>
    <w:rsid w:val="00BC0351"/>
    <w:rsid w:val="00BC2464"/>
    <w:rsid w:val="00BC4301"/>
    <w:rsid w:val="00BC67A2"/>
    <w:rsid w:val="00BC7141"/>
    <w:rsid w:val="00BD50A7"/>
    <w:rsid w:val="00BD6026"/>
    <w:rsid w:val="00BD67A0"/>
    <w:rsid w:val="00BD7543"/>
    <w:rsid w:val="00BD75B0"/>
    <w:rsid w:val="00BE065F"/>
    <w:rsid w:val="00BE086C"/>
    <w:rsid w:val="00BE0917"/>
    <w:rsid w:val="00BE1FA0"/>
    <w:rsid w:val="00BE2AA2"/>
    <w:rsid w:val="00BE3704"/>
    <w:rsid w:val="00BE478B"/>
    <w:rsid w:val="00BE47F7"/>
    <w:rsid w:val="00BE6D7D"/>
    <w:rsid w:val="00BE7B64"/>
    <w:rsid w:val="00BF4FC2"/>
    <w:rsid w:val="00C01F1E"/>
    <w:rsid w:val="00C0268F"/>
    <w:rsid w:val="00C02871"/>
    <w:rsid w:val="00C04144"/>
    <w:rsid w:val="00C044C9"/>
    <w:rsid w:val="00C0718C"/>
    <w:rsid w:val="00C07C65"/>
    <w:rsid w:val="00C10777"/>
    <w:rsid w:val="00C13006"/>
    <w:rsid w:val="00C13E9C"/>
    <w:rsid w:val="00C15603"/>
    <w:rsid w:val="00C16A5E"/>
    <w:rsid w:val="00C17CE1"/>
    <w:rsid w:val="00C23187"/>
    <w:rsid w:val="00C244CD"/>
    <w:rsid w:val="00C25141"/>
    <w:rsid w:val="00C261A7"/>
    <w:rsid w:val="00C27F99"/>
    <w:rsid w:val="00C31E1D"/>
    <w:rsid w:val="00C32056"/>
    <w:rsid w:val="00C32608"/>
    <w:rsid w:val="00C3469E"/>
    <w:rsid w:val="00C35181"/>
    <w:rsid w:val="00C3519B"/>
    <w:rsid w:val="00C3559D"/>
    <w:rsid w:val="00C41AED"/>
    <w:rsid w:val="00C42441"/>
    <w:rsid w:val="00C46D9C"/>
    <w:rsid w:val="00C50BC3"/>
    <w:rsid w:val="00C510F0"/>
    <w:rsid w:val="00C51A8C"/>
    <w:rsid w:val="00C51B0D"/>
    <w:rsid w:val="00C51BF3"/>
    <w:rsid w:val="00C527CD"/>
    <w:rsid w:val="00C53FD1"/>
    <w:rsid w:val="00C54D72"/>
    <w:rsid w:val="00C551E5"/>
    <w:rsid w:val="00C565A8"/>
    <w:rsid w:val="00C603DD"/>
    <w:rsid w:val="00C613D3"/>
    <w:rsid w:val="00C63A73"/>
    <w:rsid w:val="00C64A69"/>
    <w:rsid w:val="00C66047"/>
    <w:rsid w:val="00C66B19"/>
    <w:rsid w:val="00C66BF5"/>
    <w:rsid w:val="00C67A4E"/>
    <w:rsid w:val="00C7181E"/>
    <w:rsid w:val="00C71A56"/>
    <w:rsid w:val="00C72F88"/>
    <w:rsid w:val="00C73782"/>
    <w:rsid w:val="00C73819"/>
    <w:rsid w:val="00C744EF"/>
    <w:rsid w:val="00C74813"/>
    <w:rsid w:val="00C75046"/>
    <w:rsid w:val="00C75259"/>
    <w:rsid w:val="00C77AC4"/>
    <w:rsid w:val="00C806A6"/>
    <w:rsid w:val="00C81121"/>
    <w:rsid w:val="00C820BF"/>
    <w:rsid w:val="00C835CC"/>
    <w:rsid w:val="00C84EBD"/>
    <w:rsid w:val="00C856B7"/>
    <w:rsid w:val="00C860B8"/>
    <w:rsid w:val="00C87D1B"/>
    <w:rsid w:val="00C91DBA"/>
    <w:rsid w:val="00C94F27"/>
    <w:rsid w:val="00C966B9"/>
    <w:rsid w:val="00C969C9"/>
    <w:rsid w:val="00CA158C"/>
    <w:rsid w:val="00CA1693"/>
    <w:rsid w:val="00CA48E0"/>
    <w:rsid w:val="00CA4CE5"/>
    <w:rsid w:val="00CA5108"/>
    <w:rsid w:val="00CA6C68"/>
    <w:rsid w:val="00CA7E87"/>
    <w:rsid w:val="00CB06A3"/>
    <w:rsid w:val="00CB2D61"/>
    <w:rsid w:val="00CB5AC1"/>
    <w:rsid w:val="00CB6F31"/>
    <w:rsid w:val="00CC11CF"/>
    <w:rsid w:val="00CC1EB7"/>
    <w:rsid w:val="00CC2C65"/>
    <w:rsid w:val="00CC37AE"/>
    <w:rsid w:val="00CC3E08"/>
    <w:rsid w:val="00CC3F06"/>
    <w:rsid w:val="00CC528D"/>
    <w:rsid w:val="00CC6391"/>
    <w:rsid w:val="00CC68C7"/>
    <w:rsid w:val="00CC78F5"/>
    <w:rsid w:val="00CD075C"/>
    <w:rsid w:val="00CD2A32"/>
    <w:rsid w:val="00CD2FF3"/>
    <w:rsid w:val="00CD5231"/>
    <w:rsid w:val="00CD60CF"/>
    <w:rsid w:val="00CD648A"/>
    <w:rsid w:val="00CD6648"/>
    <w:rsid w:val="00CD6A58"/>
    <w:rsid w:val="00CE0227"/>
    <w:rsid w:val="00CE0BAB"/>
    <w:rsid w:val="00CE2E48"/>
    <w:rsid w:val="00CE5237"/>
    <w:rsid w:val="00CE59EE"/>
    <w:rsid w:val="00CE6409"/>
    <w:rsid w:val="00CE75C7"/>
    <w:rsid w:val="00CF1B4D"/>
    <w:rsid w:val="00CF1E3C"/>
    <w:rsid w:val="00CF211B"/>
    <w:rsid w:val="00CF2601"/>
    <w:rsid w:val="00CF38B3"/>
    <w:rsid w:val="00CF3B50"/>
    <w:rsid w:val="00CF4955"/>
    <w:rsid w:val="00CF547E"/>
    <w:rsid w:val="00D011A0"/>
    <w:rsid w:val="00D03D67"/>
    <w:rsid w:val="00D0626C"/>
    <w:rsid w:val="00D1305D"/>
    <w:rsid w:val="00D14E24"/>
    <w:rsid w:val="00D21E3B"/>
    <w:rsid w:val="00D22F51"/>
    <w:rsid w:val="00D24DEC"/>
    <w:rsid w:val="00D24E60"/>
    <w:rsid w:val="00D26012"/>
    <w:rsid w:val="00D34AD4"/>
    <w:rsid w:val="00D34CB7"/>
    <w:rsid w:val="00D353EA"/>
    <w:rsid w:val="00D420CF"/>
    <w:rsid w:val="00D43A7D"/>
    <w:rsid w:val="00D45B8A"/>
    <w:rsid w:val="00D46673"/>
    <w:rsid w:val="00D466CD"/>
    <w:rsid w:val="00D467E3"/>
    <w:rsid w:val="00D510DA"/>
    <w:rsid w:val="00D52906"/>
    <w:rsid w:val="00D52D9C"/>
    <w:rsid w:val="00D52FE5"/>
    <w:rsid w:val="00D543F7"/>
    <w:rsid w:val="00D562E1"/>
    <w:rsid w:val="00D56DFC"/>
    <w:rsid w:val="00D62B94"/>
    <w:rsid w:val="00D679F8"/>
    <w:rsid w:val="00D67ED3"/>
    <w:rsid w:val="00D67ED8"/>
    <w:rsid w:val="00D7005E"/>
    <w:rsid w:val="00D71CEC"/>
    <w:rsid w:val="00D7283D"/>
    <w:rsid w:val="00D76566"/>
    <w:rsid w:val="00D77BB6"/>
    <w:rsid w:val="00D81BF8"/>
    <w:rsid w:val="00D82EC5"/>
    <w:rsid w:val="00D84867"/>
    <w:rsid w:val="00D8543D"/>
    <w:rsid w:val="00D86162"/>
    <w:rsid w:val="00D86B43"/>
    <w:rsid w:val="00D905AC"/>
    <w:rsid w:val="00D90C3F"/>
    <w:rsid w:val="00D920DE"/>
    <w:rsid w:val="00D9238F"/>
    <w:rsid w:val="00D92420"/>
    <w:rsid w:val="00D92BA7"/>
    <w:rsid w:val="00D92DAC"/>
    <w:rsid w:val="00D92EA7"/>
    <w:rsid w:val="00D94E5E"/>
    <w:rsid w:val="00D96EA2"/>
    <w:rsid w:val="00D97AE3"/>
    <w:rsid w:val="00D97FED"/>
    <w:rsid w:val="00DA1DC6"/>
    <w:rsid w:val="00DA3105"/>
    <w:rsid w:val="00DA5CC2"/>
    <w:rsid w:val="00DA7246"/>
    <w:rsid w:val="00DA727C"/>
    <w:rsid w:val="00DB2019"/>
    <w:rsid w:val="00DB20D3"/>
    <w:rsid w:val="00DB282A"/>
    <w:rsid w:val="00DB3664"/>
    <w:rsid w:val="00DB3DD3"/>
    <w:rsid w:val="00DB3E12"/>
    <w:rsid w:val="00DB5DF5"/>
    <w:rsid w:val="00DB721E"/>
    <w:rsid w:val="00DB76E3"/>
    <w:rsid w:val="00DC0081"/>
    <w:rsid w:val="00DC38BB"/>
    <w:rsid w:val="00DC5A57"/>
    <w:rsid w:val="00DC68B8"/>
    <w:rsid w:val="00DD11B1"/>
    <w:rsid w:val="00DD1599"/>
    <w:rsid w:val="00DD1E86"/>
    <w:rsid w:val="00DD40E1"/>
    <w:rsid w:val="00DD6F86"/>
    <w:rsid w:val="00DE188B"/>
    <w:rsid w:val="00DE22F9"/>
    <w:rsid w:val="00DE27F3"/>
    <w:rsid w:val="00DE45C3"/>
    <w:rsid w:val="00DE5E08"/>
    <w:rsid w:val="00DE65D2"/>
    <w:rsid w:val="00DE6885"/>
    <w:rsid w:val="00DF241E"/>
    <w:rsid w:val="00DF2A3D"/>
    <w:rsid w:val="00DF2C2D"/>
    <w:rsid w:val="00DF398E"/>
    <w:rsid w:val="00DF3B72"/>
    <w:rsid w:val="00DF3BB3"/>
    <w:rsid w:val="00DF7359"/>
    <w:rsid w:val="00E0014E"/>
    <w:rsid w:val="00E01276"/>
    <w:rsid w:val="00E02324"/>
    <w:rsid w:val="00E02362"/>
    <w:rsid w:val="00E04163"/>
    <w:rsid w:val="00E0458A"/>
    <w:rsid w:val="00E047E2"/>
    <w:rsid w:val="00E0559C"/>
    <w:rsid w:val="00E057AB"/>
    <w:rsid w:val="00E0628A"/>
    <w:rsid w:val="00E067C0"/>
    <w:rsid w:val="00E073E1"/>
    <w:rsid w:val="00E07A2B"/>
    <w:rsid w:val="00E10BDA"/>
    <w:rsid w:val="00E11330"/>
    <w:rsid w:val="00E119A7"/>
    <w:rsid w:val="00E1329A"/>
    <w:rsid w:val="00E15984"/>
    <w:rsid w:val="00E15B0B"/>
    <w:rsid w:val="00E16309"/>
    <w:rsid w:val="00E164D3"/>
    <w:rsid w:val="00E172D9"/>
    <w:rsid w:val="00E20A33"/>
    <w:rsid w:val="00E20DA2"/>
    <w:rsid w:val="00E221FF"/>
    <w:rsid w:val="00E22547"/>
    <w:rsid w:val="00E24070"/>
    <w:rsid w:val="00E24998"/>
    <w:rsid w:val="00E25833"/>
    <w:rsid w:val="00E271A5"/>
    <w:rsid w:val="00E27723"/>
    <w:rsid w:val="00E27BF4"/>
    <w:rsid w:val="00E30496"/>
    <w:rsid w:val="00E33378"/>
    <w:rsid w:val="00E33BB9"/>
    <w:rsid w:val="00E3490C"/>
    <w:rsid w:val="00E3638F"/>
    <w:rsid w:val="00E366AA"/>
    <w:rsid w:val="00E36B29"/>
    <w:rsid w:val="00E377B7"/>
    <w:rsid w:val="00E40674"/>
    <w:rsid w:val="00E40A0C"/>
    <w:rsid w:val="00E42DE3"/>
    <w:rsid w:val="00E43543"/>
    <w:rsid w:val="00E43EF0"/>
    <w:rsid w:val="00E45597"/>
    <w:rsid w:val="00E46D0C"/>
    <w:rsid w:val="00E47C14"/>
    <w:rsid w:val="00E5085C"/>
    <w:rsid w:val="00E516C0"/>
    <w:rsid w:val="00E52437"/>
    <w:rsid w:val="00E52D88"/>
    <w:rsid w:val="00E554E6"/>
    <w:rsid w:val="00E55869"/>
    <w:rsid w:val="00E55DBF"/>
    <w:rsid w:val="00E561E1"/>
    <w:rsid w:val="00E56204"/>
    <w:rsid w:val="00E56E7B"/>
    <w:rsid w:val="00E57A62"/>
    <w:rsid w:val="00E57F7A"/>
    <w:rsid w:val="00E637EC"/>
    <w:rsid w:val="00E64D43"/>
    <w:rsid w:val="00E6702F"/>
    <w:rsid w:val="00E72B67"/>
    <w:rsid w:val="00E72DCA"/>
    <w:rsid w:val="00E76392"/>
    <w:rsid w:val="00E76CED"/>
    <w:rsid w:val="00E77190"/>
    <w:rsid w:val="00E801DD"/>
    <w:rsid w:val="00E81967"/>
    <w:rsid w:val="00E81F75"/>
    <w:rsid w:val="00E83F46"/>
    <w:rsid w:val="00E85A7E"/>
    <w:rsid w:val="00E86D1A"/>
    <w:rsid w:val="00E8783A"/>
    <w:rsid w:val="00E921CD"/>
    <w:rsid w:val="00E922AD"/>
    <w:rsid w:val="00E9304A"/>
    <w:rsid w:val="00E9334B"/>
    <w:rsid w:val="00E940DB"/>
    <w:rsid w:val="00E94226"/>
    <w:rsid w:val="00E95C55"/>
    <w:rsid w:val="00E96725"/>
    <w:rsid w:val="00E969B0"/>
    <w:rsid w:val="00E97278"/>
    <w:rsid w:val="00E97B8B"/>
    <w:rsid w:val="00EA0EEC"/>
    <w:rsid w:val="00EA1CF9"/>
    <w:rsid w:val="00EA1D1E"/>
    <w:rsid w:val="00EA270A"/>
    <w:rsid w:val="00EA2BA3"/>
    <w:rsid w:val="00EA3452"/>
    <w:rsid w:val="00EB1985"/>
    <w:rsid w:val="00EB21D5"/>
    <w:rsid w:val="00EB2254"/>
    <w:rsid w:val="00EB4401"/>
    <w:rsid w:val="00EB4C3C"/>
    <w:rsid w:val="00EB4C62"/>
    <w:rsid w:val="00EB4EE5"/>
    <w:rsid w:val="00EB5580"/>
    <w:rsid w:val="00EB5BD8"/>
    <w:rsid w:val="00EB6590"/>
    <w:rsid w:val="00EB6F10"/>
    <w:rsid w:val="00EB753E"/>
    <w:rsid w:val="00EC19BC"/>
    <w:rsid w:val="00EC2C3E"/>
    <w:rsid w:val="00EC3001"/>
    <w:rsid w:val="00EC3061"/>
    <w:rsid w:val="00EC3531"/>
    <w:rsid w:val="00EC41AF"/>
    <w:rsid w:val="00EC58EC"/>
    <w:rsid w:val="00EC596B"/>
    <w:rsid w:val="00EC6350"/>
    <w:rsid w:val="00EC6C58"/>
    <w:rsid w:val="00EC7CAB"/>
    <w:rsid w:val="00ED0A20"/>
    <w:rsid w:val="00ED0C44"/>
    <w:rsid w:val="00ED1205"/>
    <w:rsid w:val="00ED34B3"/>
    <w:rsid w:val="00ED4036"/>
    <w:rsid w:val="00ED4FEA"/>
    <w:rsid w:val="00EE022C"/>
    <w:rsid w:val="00EE129F"/>
    <w:rsid w:val="00EE18E6"/>
    <w:rsid w:val="00EE208A"/>
    <w:rsid w:val="00EE3747"/>
    <w:rsid w:val="00EE38C4"/>
    <w:rsid w:val="00EE4196"/>
    <w:rsid w:val="00EF28CD"/>
    <w:rsid w:val="00EF436F"/>
    <w:rsid w:val="00EF45C6"/>
    <w:rsid w:val="00EF5377"/>
    <w:rsid w:val="00EF70F4"/>
    <w:rsid w:val="00F00820"/>
    <w:rsid w:val="00F039F0"/>
    <w:rsid w:val="00F03BFC"/>
    <w:rsid w:val="00F06FEF"/>
    <w:rsid w:val="00F07879"/>
    <w:rsid w:val="00F07F94"/>
    <w:rsid w:val="00F10ED8"/>
    <w:rsid w:val="00F13B56"/>
    <w:rsid w:val="00F145B6"/>
    <w:rsid w:val="00F148EC"/>
    <w:rsid w:val="00F15FA2"/>
    <w:rsid w:val="00F176E3"/>
    <w:rsid w:val="00F2164D"/>
    <w:rsid w:val="00F21CDC"/>
    <w:rsid w:val="00F226A3"/>
    <w:rsid w:val="00F22CEE"/>
    <w:rsid w:val="00F23744"/>
    <w:rsid w:val="00F244D4"/>
    <w:rsid w:val="00F25DA0"/>
    <w:rsid w:val="00F2641D"/>
    <w:rsid w:val="00F2754C"/>
    <w:rsid w:val="00F32501"/>
    <w:rsid w:val="00F32BF9"/>
    <w:rsid w:val="00F34CD3"/>
    <w:rsid w:val="00F376C2"/>
    <w:rsid w:val="00F37D92"/>
    <w:rsid w:val="00F37F24"/>
    <w:rsid w:val="00F4021C"/>
    <w:rsid w:val="00F41F97"/>
    <w:rsid w:val="00F4358A"/>
    <w:rsid w:val="00F435AD"/>
    <w:rsid w:val="00F43AB5"/>
    <w:rsid w:val="00F45B5E"/>
    <w:rsid w:val="00F51C9D"/>
    <w:rsid w:val="00F51CCA"/>
    <w:rsid w:val="00F52649"/>
    <w:rsid w:val="00F561DB"/>
    <w:rsid w:val="00F578AF"/>
    <w:rsid w:val="00F601AC"/>
    <w:rsid w:val="00F60D91"/>
    <w:rsid w:val="00F61394"/>
    <w:rsid w:val="00F62B87"/>
    <w:rsid w:val="00F63628"/>
    <w:rsid w:val="00F67EB7"/>
    <w:rsid w:val="00F708EE"/>
    <w:rsid w:val="00F719B8"/>
    <w:rsid w:val="00F735BE"/>
    <w:rsid w:val="00F7528E"/>
    <w:rsid w:val="00F77E44"/>
    <w:rsid w:val="00F81B14"/>
    <w:rsid w:val="00F81C4F"/>
    <w:rsid w:val="00F83BCE"/>
    <w:rsid w:val="00F924CE"/>
    <w:rsid w:val="00F93EF9"/>
    <w:rsid w:val="00F94ABF"/>
    <w:rsid w:val="00F96391"/>
    <w:rsid w:val="00F97A10"/>
    <w:rsid w:val="00FA1085"/>
    <w:rsid w:val="00FA36B6"/>
    <w:rsid w:val="00FA5CED"/>
    <w:rsid w:val="00FA6443"/>
    <w:rsid w:val="00FA645C"/>
    <w:rsid w:val="00FA6670"/>
    <w:rsid w:val="00FB4800"/>
    <w:rsid w:val="00FB5454"/>
    <w:rsid w:val="00FB5BE2"/>
    <w:rsid w:val="00FB69F0"/>
    <w:rsid w:val="00FB7810"/>
    <w:rsid w:val="00FC0501"/>
    <w:rsid w:val="00FC4677"/>
    <w:rsid w:val="00FC48DC"/>
    <w:rsid w:val="00FC5078"/>
    <w:rsid w:val="00FC7959"/>
    <w:rsid w:val="00FC7F8D"/>
    <w:rsid w:val="00FE01D9"/>
    <w:rsid w:val="00FE0314"/>
    <w:rsid w:val="00FE15B0"/>
    <w:rsid w:val="00FE18BE"/>
    <w:rsid w:val="00FE3366"/>
    <w:rsid w:val="00FE4A98"/>
    <w:rsid w:val="00FE5242"/>
    <w:rsid w:val="00FE60D2"/>
    <w:rsid w:val="00FE69C7"/>
    <w:rsid w:val="00FF016C"/>
    <w:rsid w:val="00FF09C6"/>
    <w:rsid w:val="00FF0CF3"/>
    <w:rsid w:val="00FF1A34"/>
    <w:rsid w:val="00FF24C7"/>
    <w:rsid w:val="00FF2A08"/>
    <w:rsid w:val="00FF6A57"/>
    <w:rsid w:val="00FF704E"/>
    <w:rsid w:val="00FF7C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531E95D"/>
  <w15:docId w15:val="{24FF4D24-5D49-4762-BA64-C96466474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4E5"/>
    <w:pPr>
      <w:jc w:val="both"/>
    </w:pPr>
    <w:rPr>
      <w:sz w:val="16"/>
    </w:rPr>
  </w:style>
  <w:style w:type="paragraph" w:styleId="Titre1">
    <w:name w:val="heading 1"/>
    <w:basedOn w:val="Normal"/>
    <w:next w:val="Normal"/>
    <w:link w:val="Titre1Car"/>
    <w:qFormat/>
    <w:rsid w:val="00F37D92"/>
    <w:pPr>
      <w:keepNext/>
      <w:tabs>
        <w:tab w:val="right" w:pos="9072"/>
      </w:tabs>
      <w:ind w:left="432" w:hanging="432"/>
      <w:jc w:val="left"/>
      <w:outlineLvl w:val="0"/>
    </w:pPr>
    <w:rPr>
      <w:rFonts w:ascii="Arial" w:hAnsi="Arial" w:cs="Arial"/>
      <w:b/>
      <w:sz w:val="20"/>
    </w:rPr>
  </w:style>
  <w:style w:type="paragraph" w:styleId="Titre2">
    <w:name w:val="heading 2"/>
    <w:aliases w:val="Überschrift 2 Anhang,Überschrift 2 Anhang1,Überschrift 2 Anhang2,Überschrift 2 Anhang11,Überschrift 2 Anhang21,Titre2,heading 2,H2,h2,2,Header 2,l2,sh2,1h,TitreProp,1st level heading,level 2 no toc,A,2nd level,Chapter Title,A.B.C.,1.1"/>
    <w:basedOn w:val="Normal"/>
    <w:next w:val="Normal"/>
    <w:link w:val="Titre2Car"/>
    <w:uiPriority w:val="99"/>
    <w:qFormat/>
    <w:rsid w:val="00B244E5"/>
    <w:pPr>
      <w:keepNext/>
      <w:numPr>
        <w:ilvl w:val="1"/>
        <w:numId w:val="1"/>
      </w:numPr>
      <w:outlineLvl w:val="1"/>
    </w:pPr>
    <w:rPr>
      <w:b/>
      <w:u w:val="single"/>
    </w:rPr>
  </w:style>
  <w:style w:type="paragraph" w:styleId="Titre3">
    <w:name w:val="heading 3"/>
    <w:aliases w:val="h3,3,l3,sh3,H3,H31,subhead,1.,TF-Overskrift 3,CT,l3+toc 3,level3,text,Subhead,titre 1.1.1,3rd level,Head 3,ITT t3,PA Minor Section,Titre3,heading 3"/>
    <w:basedOn w:val="Normal"/>
    <w:next w:val="Corpsdetexte1"/>
    <w:uiPriority w:val="99"/>
    <w:qFormat/>
    <w:rsid w:val="00B244E5"/>
    <w:pPr>
      <w:numPr>
        <w:numId w:val="2"/>
      </w:numPr>
      <w:outlineLvl w:val="2"/>
    </w:pPr>
    <w:rPr>
      <w:b/>
      <w:snapToGrid w:val="0"/>
      <w:u w:val="single"/>
    </w:rPr>
  </w:style>
  <w:style w:type="paragraph" w:styleId="Titre4">
    <w:name w:val="heading 4"/>
    <w:aliases w:val="H4,Titre4,heading 4,l4,l41,l42"/>
    <w:basedOn w:val="Normal"/>
    <w:next w:val="Retraitcorpsdetexte"/>
    <w:uiPriority w:val="99"/>
    <w:qFormat/>
    <w:rsid w:val="00B244E5"/>
    <w:pPr>
      <w:numPr>
        <w:ilvl w:val="3"/>
        <w:numId w:val="1"/>
      </w:numPr>
      <w:spacing w:line="288" w:lineRule="auto"/>
      <w:outlineLvl w:val="3"/>
    </w:pPr>
    <w:rPr>
      <w:rFonts w:ascii="CG Times" w:hAnsi="CG Times"/>
      <w:b/>
      <w:snapToGrid w:val="0"/>
    </w:rPr>
  </w:style>
  <w:style w:type="paragraph" w:styleId="Titre5">
    <w:name w:val="heading 5"/>
    <w:aliases w:val="h5"/>
    <w:basedOn w:val="Normal"/>
    <w:next w:val="Normal"/>
    <w:uiPriority w:val="99"/>
    <w:qFormat/>
    <w:rsid w:val="00B244E5"/>
    <w:pPr>
      <w:keepNext/>
      <w:numPr>
        <w:ilvl w:val="4"/>
        <w:numId w:val="1"/>
      </w:numPr>
      <w:outlineLvl w:val="4"/>
    </w:pPr>
    <w:rPr>
      <w:rFonts w:ascii="Times New (W1)" w:hAnsi="Times New (W1)"/>
      <w:b/>
    </w:rPr>
  </w:style>
  <w:style w:type="paragraph" w:styleId="Titre6">
    <w:name w:val="heading 6"/>
    <w:aliases w:val="h6"/>
    <w:basedOn w:val="Normal"/>
    <w:next w:val="Normal"/>
    <w:uiPriority w:val="99"/>
    <w:qFormat/>
    <w:rsid w:val="00B244E5"/>
    <w:pPr>
      <w:keepNext/>
      <w:numPr>
        <w:ilvl w:val="5"/>
        <w:numId w:val="1"/>
      </w:numPr>
      <w:outlineLvl w:val="5"/>
    </w:pPr>
    <w:rPr>
      <w:rFonts w:ascii="Times New (W1)" w:hAnsi="Times New (W1)"/>
      <w:b/>
      <w:u w:val="single"/>
    </w:rPr>
  </w:style>
  <w:style w:type="paragraph" w:styleId="Titre7">
    <w:name w:val="heading 7"/>
    <w:aliases w:val="h7"/>
    <w:basedOn w:val="Normal"/>
    <w:next w:val="Normal"/>
    <w:uiPriority w:val="99"/>
    <w:qFormat/>
    <w:rsid w:val="00B244E5"/>
    <w:pPr>
      <w:keepNext/>
      <w:numPr>
        <w:ilvl w:val="6"/>
        <w:numId w:val="1"/>
      </w:numPr>
      <w:outlineLvl w:val="6"/>
    </w:pPr>
    <w:rPr>
      <w:b/>
    </w:rPr>
  </w:style>
  <w:style w:type="paragraph" w:styleId="Titre8">
    <w:name w:val="heading 8"/>
    <w:basedOn w:val="Normal"/>
    <w:next w:val="Normal"/>
    <w:uiPriority w:val="99"/>
    <w:qFormat/>
    <w:rsid w:val="00B244E5"/>
    <w:pPr>
      <w:keepNext/>
      <w:numPr>
        <w:ilvl w:val="7"/>
        <w:numId w:val="1"/>
      </w:numPr>
      <w:outlineLvl w:val="7"/>
    </w:pPr>
    <w:rPr>
      <w:u w:val="single"/>
    </w:rPr>
  </w:style>
  <w:style w:type="paragraph" w:styleId="Titre9">
    <w:name w:val="heading 9"/>
    <w:basedOn w:val="Normal"/>
    <w:next w:val="Normal"/>
    <w:uiPriority w:val="99"/>
    <w:qFormat/>
    <w:rsid w:val="00B244E5"/>
    <w:pPr>
      <w:keepNext/>
      <w:numPr>
        <w:ilvl w:val="8"/>
        <w:numId w:val="1"/>
      </w:numPr>
      <w:outlineLvl w:val="8"/>
    </w:pPr>
    <w:rPr>
      <w:b/>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mailStyle151">
    <w:name w:val="EmailStyle151"/>
    <w:basedOn w:val="Normal"/>
    <w:next w:val="Normal"/>
    <w:qFormat/>
    <w:rsid w:val="00B244E5"/>
    <w:pPr>
      <w:numPr>
        <w:numId w:val="1"/>
      </w:numPr>
      <w:spacing w:line="288" w:lineRule="auto"/>
      <w:outlineLvl w:val="0"/>
    </w:pPr>
    <w:rPr>
      <w:rFonts w:ascii="CG Times" w:hAnsi="CG Times"/>
      <w:b/>
      <w:caps/>
      <w:snapToGrid w:val="0"/>
      <w:sz w:val="22"/>
      <w:u w:val="single"/>
    </w:rPr>
  </w:style>
  <w:style w:type="paragraph" w:customStyle="1" w:styleId="Corpsdetexte1">
    <w:name w:val="Corps de texte 1"/>
    <w:basedOn w:val="Normal"/>
    <w:rsid w:val="00B244E5"/>
    <w:pPr>
      <w:spacing w:line="288" w:lineRule="auto"/>
      <w:ind w:left="709"/>
    </w:pPr>
    <w:rPr>
      <w:rFonts w:ascii="CG Times" w:hAnsi="CG Times"/>
      <w:snapToGrid w:val="0"/>
      <w:sz w:val="22"/>
    </w:rPr>
  </w:style>
  <w:style w:type="paragraph" w:styleId="Retraitcorpsdetexte">
    <w:name w:val="Body Text Indent"/>
    <w:basedOn w:val="Normal"/>
    <w:rsid w:val="00B244E5"/>
    <w:pPr>
      <w:spacing w:line="288" w:lineRule="auto"/>
      <w:ind w:left="426" w:hanging="426"/>
    </w:pPr>
    <w:rPr>
      <w:rFonts w:ascii="CG Times" w:hAnsi="CG Times"/>
      <w:snapToGrid w:val="0"/>
      <w:sz w:val="22"/>
    </w:rPr>
  </w:style>
  <w:style w:type="paragraph" w:styleId="Retraitcorpsdetexte3">
    <w:name w:val="Body Text Indent 3"/>
    <w:basedOn w:val="Normal"/>
    <w:rsid w:val="00B244E5"/>
    <w:pPr>
      <w:spacing w:line="288" w:lineRule="auto"/>
      <w:ind w:left="1134" w:hanging="426"/>
    </w:pPr>
    <w:rPr>
      <w:rFonts w:ascii="CG Times" w:hAnsi="CG Times"/>
      <w:snapToGrid w:val="0"/>
      <w:sz w:val="22"/>
    </w:rPr>
  </w:style>
  <w:style w:type="paragraph" w:styleId="Titre">
    <w:name w:val="Title"/>
    <w:basedOn w:val="Normal"/>
    <w:qFormat/>
    <w:rsid w:val="00B244E5"/>
    <w:pPr>
      <w:jc w:val="center"/>
    </w:pPr>
    <w:rPr>
      <w:rFonts w:ascii="Times (PCL6)" w:hAnsi="Times (PCL6)"/>
      <w:b/>
      <w:u w:val="single"/>
    </w:rPr>
  </w:style>
  <w:style w:type="paragraph" w:customStyle="1" w:styleId="Retraitcorpsdetexte4">
    <w:name w:val="Retrait corps de texte 4"/>
    <w:basedOn w:val="Retraitcorpsdetexte3"/>
    <w:rsid w:val="00B244E5"/>
    <w:pPr>
      <w:ind w:left="1559" w:hanging="425"/>
    </w:pPr>
    <w:rPr>
      <w:color w:val="000080"/>
    </w:rPr>
  </w:style>
  <w:style w:type="paragraph" w:styleId="En-tte">
    <w:name w:val="header"/>
    <w:basedOn w:val="Normal"/>
    <w:rsid w:val="00B244E5"/>
    <w:pPr>
      <w:jc w:val="right"/>
    </w:pPr>
    <w:rPr>
      <w:rFonts w:ascii="CG Times" w:hAnsi="CG Times"/>
      <w:snapToGrid w:val="0"/>
      <w:sz w:val="12"/>
    </w:rPr>
  </w:style>
  <w:style w:type="paragraph" w:styleId="Corpsdetexte2">
    <w:name w:val="Body Text 2"/>
    <w:basedOn w:val="Normal"/>
    <w:rsid w:val="00B244E5"/>
    <w:pPr>
      <w:spacing w:before="120" w:line="288" w:lineRule="auto"/>
      <w:ind w:right="-1"/>
    </w:pPr>
    <w:rPr>
      <w:snapToGrid w:val="0"/>
      <w:sz w:val="22"/>
    </w:rPr>
  </w:style>
  <w:style w:type="paragraph" w:styleId="Corpsdetexte">
    <w:name w:val="Body Text"/>
    <w:basedOn w:val="Normal"/>
    <w:rsid w:val="00B244E5"/>
    <w:pPr>
      <w:spacing w:line="288" w:lineRule="auto"/>
      <w:jc w:val="center"/>
    </w:pPr>
    <w:rPr>
      <w:rFonts w:ascii="CG Times" w:hAnsi="CG Times"/>
      <w:i/>
      <w:snapToGrid w:val="0"/>
      <w:sz w:val="22"/>
    </w:rPr>
  </w:style>
  <w:style w:type="paragraph" w:styleId="Retraitcorpsdetexte2">
    <w:name w:val="Body Text Indent 2"/>
    <w:basedOn w:val="Normal"/>
    <w:rsid w:val="00B244E5"/>
    <w:pPr>
      <w:spacing w:line="288" w:lineRule="auto"/>
      <w:ind w:left="851" w:hanging="425"/>
    </w:pPr>
    <w:rPr>
      <w:rFonts w:ascii="CG Times" w:hAnsi="CG Times"/>
      <w:snapToGrid w:val="0"/>
      <w:color w:val="000080"/>
      <w:sz w:val="22"/>
    </w:rPr>
  </w:style>
  <w:style w:type="character" w:styleId="Appelnotedebasdep">
    <w:name w:val="footnote reference"/>
    <w:basedOn w:val="Policepardfaut"/>
    <w:semiHidden/>
    <w:rsid w:val="00B244E5"/>
    <w:rPr>
      <w:rFonts w:ascii="CG Times" w:hAnsi="CG Times"/>
      <w:color w:val="auto"/>
      <w:sz w:val="18"/>
      <w:u w:val="none"/>
      <w:vertAlign w:val="superscript"/>
    </w:rPr>
  </w:style>
  <w:style w:type="paragraph" w:styleId="Notedebasdepage">
    <w:name w:val="footnote text"/>
    <w:basedOn w:val="Normal"/>
    <w:semiHidden/>
    <w:rsid w:val="00B244E5"/>
    <w:pPr>
      <w:tabs>
        <w:tab w:val="left" w:pos="113"/>
      </w:tabs>
      <w:spacing w:after="100" w:line="288" w:lineRule="auto"/>
      <w:ind w:left="113" w:hanging="113"/>
    </w:pPr>
    <w:rPr>
      <w:rFonts w:ascii="CG Times" w:hAnsi="CG Times"/>
      <w:sz w:val="18"/>
    </w:rPr>
  </w:style>
  <w:style w:type="paragraph" w:customStyle="1" w:styleId="ListeTiretinterligne">
    <w:name w:val="Liste (Tiret + interligne)"/>
    <w:basedOn w:val="Normal"/>
    <w:rsid w:val="00B244E5"/>
    <w:pPr>
      <w:spacing w:before="240"/>
      <w:ind w:left="340" w:hanging="340"/>
    </w:pPr>
    <w:rPr>
      <w:rFonts w:ascii="Palatino" w:hAnsi="Palatino"/>
      <w:sz w:val="24"/>
    </w:rPr>
  </w:style>
  <w:style w:type="paragraph" w:customStyle="1" w:styleId="enum1">
    <w:name w:val="enum1"/>
    <w:basedOn w:val="Normal"/>
    <w:rsid w:val="00B244E5"/>
    <w:pPr>
      <w:tabs>
        <w:tab w:val="left" w:pos="993"/>
      </w:tabs>
      <w:ind w:left="927" w:hanging="360"/>
    </w:pPr>
    <w:rPr>
      <w:sz w:val="24"/>
    </w:rPr>
  </w:style>
  <w:style w:type="paragraph" w:customStyle="1" w:styleId="tiret">
    <w:name w:val="tiret"/>
    <w:basedOn w:val="Normal"/>
    <w:rsid w:val="00B244E5"/>
    <w:pPr>
      <w:tabs>
        <w:tab w:val="num" w:pos="1418"/>
      </w:tabs>
      <w:ind w:left="1418" w:hanging="284"/>
    </w:pPr>
    <w:rPr>
      <w:sz w:val="24"/>
    </w:rPr>
  </w:style>
  <w:style w:type="paragraph" w:customStyle="1" w:styleId="tiret1">
    <w:name w:val="tiret1"/>
    <w:basedOn w:val="tiret"/>
    <w:rsid w:val="00B244E5"/>
    <w:pPr>
      <w:tabs>
        <w:tab w:val="clear" w:pos="1418"/>
        <w:tab w:val="num" w:pos="705"/>
      </w:tabs>
      <w:ind w:left="641" w:hanging="357"/>
    </w:pPr>
  </w:style>
  <w:style w:type="paragraph" w:customStyle="1" w:styleId="enumt">
    <w:name w:val="enumt"/>
    <w:basedOn w:val="tiret"/>
    <w:rsid w:val="00B244E5"/>
    <w:pPr>
      <w:tabs>
        <w:tab w:val="clear" w:pos="1418"/>
        <w:tab w:val="num" w:pos="283"/>
      </w:tabs>
      <w:ind w:left="283" w:hanging="283"/>
    </w:pPr>
    <w:rPr>
      <w:sz w:val="20"/>
    </w:rPr>
  </w:style>
  <w:style w:type="paragraph" w:customStyle="1" w:styleId="tiret2">
    <w:name w:val="tiret2"/>
    <w:basedOn w:val="tiret"/>
    <w:rsid w:val="00B244E5"/>
    <w:pPr>
      <w:tabs>
        <w:tab w:val="clear" w:pos="1418"/>
        <w:tab w:val="left" w:pos="497"/>
        <w:tab w:val="num" w:pos="705"/>
        <w:tab w:val="left" w:leader="hyphen" w:pos="6020"/>
      </w:tabs>
      <w:spacing w:line="320" w:lineRule="atLeast"/>
      <w:ind w:left="497" w:hanging="705"/>
    </w:pPr>
  </w:style>
  <w:style w:type="paragraph" w:customStyle="1" w:styleId="enum2">
    <w:name w:val="enum2"/>
    <w:basedOn w:val="enumt"/>
    <w:rsid w:val="00B244E5"/>
    <w:pPr>
      <w:tabs>
        <w:tab w:val="clear" w:pos="283"/>
        <w:tab w:val="num" w:pos="705"/>
      </w:tabs>
      <w:ind w:left="705" w:hanging="705"/>
    </w:pPr>
    <w:rPr>
      <w:sz w:val="24"/>
    </w:rPr>
  </w:style>
  <w:style w:type="paragraph" w:customStyle="1" w:styleId="enum0">
    <w:name w:val="enum0"/>
    <w:basedOn w:val="enum1"/>
    <w:rsid w:val="00B244E5"/>
    <w:pPr>
      <w:tabs>
        <w:tab w:val="clear" w:pos="993"/>
      </w:tabs>
      <w:spacing w:before="120" w:after="120"/>
      <w:ind w:left="425" w:hanging="425"/>
    </w:pPr>
    <w:rPr>
      <w:u w:val="single"/>
    </w:rPr>
  </w:style>
  <w:style w:type="paragraph" w:customStyle="1" w:styleId="enum3">
    <w:name w:val="enum3"/>
    <w:basedOn w:val="enum2"/>
    <w:rsid w:val="00B244E5"/>
    <w:pPr>
      <w:tabs>
        <w:tab w:val="clear" w:pos="705"/>
        <w:tab w:val="num" w:pos="644"/>
      </w:tabs>
      <w:spacing w:before="60"/>
      <w:ind w:left="644" w:hanging="644"/>
    </w:pPr>
  </w:style>
  <w:style w:type="paragraph" w:customStyle="1" w:styleId="numration">
    <w:name w:val="énumération"/>
    <w:basedOn w:val="Normal"/>
    <w:rsid w:val="00B244E5"/>
    <w:pPr>
      <w:tabs>
        <w:tab w:val="num" w:pos="360"/>
      </w:tabs>
      <w:ind w:left="360" w:hanging="360"/>
    </w:pPr>
    <w:rPr>
      <w:sz w:val="24"/>
    </w:rPr>
  </w:style>
  <w:style w:type="paragraph" w:customStyle="1" w:styleId="alina2">
    <w:name w:val="alinéa 2"/>
    <w:basedOn w:val="Alina1"/>
    <w:rsid w:val="00B244E5"/>
    <w:pPr>
      <w:tabs>
        <w:tab w:val="clear" w:pos="940"/>
        <w:tab w:val="num" w:pos="360"/>
      </w:tabs>
      <w:spacing w:line="200" w:lineRule="atLeast"/>
      <w:ind w:left="1701" w:hanging="283"/>
    </w:pPr>
  </w:style>
  <w:style w:type="paragraph" w:customStyle="1" w:styleId="Alina1">
    <w:name w:val="Alinéa 1"/>
    <w:basedOn w:val="Normal"/>
    <w:rsid w:val="00B244E5"/>
    <w:pPr>
      <w:tabs>
        <w:tab w:val="num" w:pos="940"/>
      </w:tabs>
      <w:spacing w:before="60" w:line="280" w:lineRule="atLeast"/>
      <w:ind w:left="940" w:hanging="360"/>
    </w:pPr>
    <w:rPr>
      <w:sz w:val="24"/>
    </w:rPr>
  </w:style>
  <w:style w:type="paragraph" w:customStyle="1" w:styleId="Normal1">
    <w:name w:val="Normal 1"/>
    <w:basedOn w:val="Normal"/>
    <w:rsid w:val="00B244E5"/>
    <w:pPr>
      <w:spacing w:after="120" w:line="240" w:lineRule="atLeast"/>
      <w:ind w:left="851"/>
    </w:pPr>
  </w:style>
  <w:style w:type="paragraph" w:customStyle="1" w:styleId="0-alinea">
    <w:name w:val="0-alinea"/>
    <w:basedOn w:val="Normal"/>
    <w:rsid w:val="00B244E5"/>
    <w:pPr>
      <w:spacing w:before="60" w:after="60" w:line="240" w:lineRule="atLeast"/>
      <w:ind w:left="1418" w:hanging="567"/>
    </w:pPr>
  </w:style>
  <w:style w:type="paragraph" w:styleId="Pieddepage">
    <w:name w:val="footer"/>
    <w:basedOn w:val="Normal"/>
    <w:link w:val="PieddepageCar"/>
    <w:rsid w:val="00B244E5"/>
    <w:pPr>
      <w:tabs>
        <w:tab w:val="center" w:pos="4536"/>
        <w:tab w:val="right" w:pos="9072"/>
      </w:tabs>
    </w:pPr>
  </w:style>
  <w:style w:type="character" w:styleId="Numrodepage">
    <w:name w:val="page number"/>
    <w:basedOn w:val="Policepardfaut"/>
    <w:rsid w:val="00B244E5"/>
  </w:style>
  <w:style w:type="paragraph" w:styleId="Corpsdetexte3">
    <w:name w:val="Body Text 3"/>
    <w:basedOn w:val="Normal"/>
    <w:rsid w:val="00B244E5"/>
  </w:style>
  <w:style w:type="paragraph" w:styleId="TM1">
    <w:name w:val="toc 1"/>
    <w:basedOn w:val="Normal"/>
    <w:next w:val="Normal"/>
    <w:autoRedefine/>
    <w:semiHidden/>
    <w:rsid w:val="00B244E5"/>
    <w:rPr>
      <w:b/>
      <w:u w:val="single"/>
    </w:rPr>
  </w:style>
  <w:style w:type="paragraph" w:styleId="TM2">
    <w:name w:val="toc 2"/>
    <w:basedOn w:val="Normal"/>
    <w:next w:val="Normal"/>
    <w:autoRedefine/>
    <w:semiHidden/>
    <w:rsid w:val="00B244E5"/>
    <w:pPr>
      <w:ind w:left="200"/>
    </w:pPr>
    <w:rPr>
      <w:smallCaps/>
    </w:rPr>
  </w:style>
  <w:style w:type="paragraph" w:styleId="TM3">
    <w:name w:val="toc 3"/>
    <w:basedOn w:val="Normal"/>
    <w:next w:val="Normal"/>
    <w:autoRedefine/>
    <w:semiHidden/>
    <w:rsid w:val="00B244E5"/>
    <w:pPr>
      <w:ind w:left="400"/>
    </w:pPr>
    <w:rPr>
      <w:i/>
    </w:rPr>
  </w:style>
  <w:style w:type="paragraph" w:styleId="TM4">
    <w:name w:val="toc 4"/>
    <w:basedOn w:val="Normal"/>
    <w:next w:val="Normal"/>
    <w:autoRedefine/>
    <w:semiHidden/>
    <w:rsid w:val="00B244E5"/>
    <w:pPr>
      <w:ind w:left="600"/>
    </w:pPr>
    <w:rPr>
      <w:sz w:val="18"/>
    </w:rPr>
  </w:style>
  <w:style w:type="paragraph" w:styleId="TM5">
    <w:name w:val="toc 5"/>
    <w:basedOn w:val="Normal"/>
    <w:next w:val="Normal"/>
    <w:autoRedefine/>
    <w:semiHidden/>
    <w:rsid w:val="00B244E5"/>
    <w:pPr>
      <w:ind w:left="800"/>
    </w:pPr>
    <w:rPr>
      <w:sz w:val="18"/>
    </w:rPr>
  </w:style>
  <w:style w:type="paragraph" w:styleId="TM6">
    <w:name w:val="toc 6"/>
    <w:basedOn w:val="Normal"/>
    <w:next w:val="Normal"/>
    <w:autoRedefine/>
    <w:semiHidden/>
    <w:rsid w:val="00B244E5"/>
    <w:pPr>
      <w:ind w:left="1000"/>
    </w:pPr>
    <w:rPr>
      <w:sz w:val="18"/>
    </w:rPr>
  </w:style>
  <w:style w:type="paragraph" w:styleId="TM7">
    <w:name w:val="toc 7"/>
    <w:basedOn w:val="Normal"/>
    <w:next w:val="Normal"/>
    <w:autoRedefine/>
    <w:semiHidden/>
    <w:rsid w:val="00B244E5"/>
    <w:pPr>
      <w:ind w:left="1200"/>
    </w:pPr>
    <w:rPr>
      <w:sz w:val="18"/>
    </w:rPr>
  </w:style>
  <w:style w:type="paragraph" w:styleId="TM8">
    <w:name w:val="toc 8"/>
    <w:basedOn w:val="Normal"/>
    <w:next w:val="Normal"/>
    <w:autoRedefine/>
    <w:semiHidden/>
    <w:rsid w:val="00B244E5"/>
    <w:pPr>
      <w:ind w:left="1400"/>
    </w:pPr>
    <w:rPr>
      <w:sz w:val="18"/>
    </w:rPr>
  </w:style>
  <w:style w:type="paragraph" w:styleId="TM9">
    <w:name w:val="toc 9"/>
    <w:basedOn w:val="Normal"/>
    <w:next w:val="Normal"/>
    <w:autoRedefine/>
    <w:semiHidden/>
    <w:rsid w:val="00B244E5"/>
    <w:pPr>
      <w:ind w:left="1600"/>
    </w:pPr>
    <w:rPr>
      <w:sz w:val="18"/>
    </w:rPr>
  </w:style>
  <w:style w:type="character" w:styleId="Lienhypertexte">
    <w:name w:val="Hyperlink"/>
    <w:basedOn w:val="Policepardfaut"/>
    <w:rsid w:val="00B244E5"/>
    <w:rPr>
      <w:color w:val="0000FF"/>
      <w:u w:val="single"/>
    </w:rPr>
  </w:style>
  <w:style w:type="paragraph" w:styleId="Commentaire">
    <w:name w:val="annotation text"/>
    <w:basedOn w:val="Normal"/>
    <w:link w:val="CommentaireCar"/>
    <w:uiPriority w:val="99"/>
    <w:rsid w:val="00B244E5"/>
    <w:pPr>
      <w:spacing w:line="240" w:lineRule="atLeast"/>
      <w:jc w:val="left"/>
    </w:pPr>
  </w:style>
  <w:style w:type="paragraph" w:styleId="Explorateurdedocuments">
    <w:name w:val="Document Map"/>
    <w:basedOn w:val="Normal"/>
    <w:semiHidden/>
    <w:rsid w:val="00B244E5"/>
    <w:pPr>
      <w:shd w:val="clear" w:color="auto" w:fill="000080"/>
    </w:pPr>
    <w:rPr>
      <w:rFonts w:ascii="Tahoma" w:hAnsi="Tahoma"/>
    </w:rPr>
  </w:style>
  <w:style w:type="paragraph" w:customStyle="1" w:styleId="Titre1h1H1col1Titre1IIIChapterHeadingSectionHead">
    <w:name w:val="Titre 1.h1.H1.co.l1.Titre§.1.II+.I.Chapter Heading.Section Head"/>
    <w:basedOn w:val="Normal"/>
    <w:next w:val="Normal"/>
    <w:rsid w:val="00B244E5"/>
    <w:pPr>
      <w:tabs>
        <w:tab w:val="num" w:pos="360"/>
      </w:tabs>
      <w:spacing w:line="288" w:lineRule="auto"/>
      <w:outlineLvl w:val="0"/>
    </w:pPr>
    <w:rPr>
      <w:rFonts w:ascii="CG Times" w:hAnsi="CG Times"/>
      <w:b/>
      <w:caps/>
      <w:snapToGrid w:val="0"/>
      <w:sz w:val="22"/>
      <w:u w:val="single"/>
    </w:rPr>
  </w:style>
  <w:style w:type="paragraph" w:customStyle="1" w:styleId="Titre2berschrift2Anhangberschrift2Anhang1berschrift2Anhang2berschrift2Anhang11berschrift2Anhang21Titre2H2h22Header2l2sh21hTitreProp1stlevelheadinglevel2notocA2ndlevelChapterTitleABC11">
    <w:name w:val="Titre 2.Überschrift 2 Anhang.Überschrift 2 Anhang1.Überschrift 2 Anhang2.Überschrift 2 Anhang11.Überschrift 2 Anhang21.Titre2.H2.h2.2.Header 2.l2.sh2.1h.TitreProp.1st level heading.level 2 no toc.A.2nd level.Chapter Title.A.B.C..1.1"/>
    <w:basedOn w:val="Normal"/>
    <w:next w:val="Normal"/>
    <w:rsid w:val="00B244E5"/>
    <w:pPr>
      <w:keepNext/>
      <w:tabs>
        <w:tab w:val="num" w:pos="0"/>
      </w:tabs>
      <w:outlineLvl w:val="1"/>
    </w:pPr>
    <w:rPr>
      <w:b/>
      <w:u w:val="single"/>
    </w:rPr>
  </w:style>
  <w:style w:type="paragraph" w:customStyle="1" w:styleId="Titre5h5">
    <w:name w:val="Titre 5.h5"/>
    <w:basedOn w:val="Normal"/>
    <w:next w:val="Normal"/>
    <w:rsid w:val="00B244E5"/>
    <w:pPr>
      <w:keepNext/>
      <w:tabs>
        <w:tab w:val="num" w:pos="0"/>
      </w:tabs>
      <w:outlineLvl w:val="4"/>
    </w:pPr>
    <w:rPr>
      <w:rFonts w:ascii="Times New (W1)" w:hAnsi="Times New (W1)"/>
      <w:b/>
    </w:rPr>
  </w:style>
  <w:style w:type="paragraph" w:customStyle="1" w:styleId="Styletitre3">
    <w:name w:val="Style titre 3"/>
    <w:basedOn w:val="Normal"/>
    <w:next w:val="Normal"/>
    <w:uiPriority w:val="99"/>
    <w:rsid w:val="004631F5"/>
    <w:pPr>
      <w:keepNext/>
      <w:numPr>
        <w:ilvl w:val="2"/>
        <w:numId w:val="1"/>
      </w:numPr>
      <w:tabs>
        <w:tab w:val="clear" w:pos="0"/>
        <w:tab w:val="num" w:pos="80"/>
      </w:tabs>
      <w:ind w:left="80"/>
      <w:outlineLvl w:val="6"/>
    </w:pPr>
    <w:rPr>
      <w:b/>
    </w:rPr>
  </w:style>
  <w:style w:type="paragraph" w:customStyle="1" w:styleId="Titre3h33l3sh3H3H31subhead1TF-Overskrift3CTl3toc3level3textSubheadtitre1113rdlevelHead3ITTt3PAMinorSection">
    <w:name w:val="Titre 3.h3.3.l3.sh3.H3.H31.subhead.1..TF-Overskrift 3.CT.l3+toc 3.level3.text.Subhead.titre 1.1.1.3rd level.Head 3.ITT t3.PA Minor Section"/>
    <w:basedOn w:val="Normal"/>
    <w:next w:val="Normal"/>
    <w:rsid w:val="00B244E5"/>
    <w:pPr>
      <w:tabs>
        <w:tab w:val="num" w:pos="360"/>
      </w:tabs>
      <w:ind w:left="360" w:hanging="360"/>
      <w:outlineLvl w:val="2"/>
    </w:pPr>
    <w:rPr>
      <w:b/>
      <w:snapToGrid w:val="0"/>
      <w:u w:val="single"/>
    </w:rPr>
  </w:style>
  <w:style w:type="paragraph" w:customStyle="1" w:styleId="Titre6h6">
    <w:name w:val="Titre 6.h6"/>
    <w:basedOn w:val="Normal"/>
    <w:next w:val="Normal"/>
    <w:rsid w:val="00B244E5"/>
    <w:pPr>
      <w:keepNext/>
      <w:tabs>
        <w:tab w:val="num" w:pos="0"/>
      </w:tabs>
      <w:outlineLvl w:val="5"/>
    </w:pPr>
    <w:rPr>
      <w:rFonts w:ascii="Times New (W1)" w:hAnsi="Times New (W1)"/>
      <w:b/>
      <w:u w:val="single"/>
    </w:rPr>
  </w:style>
  <w:style w:type="paragraph" w:customStyle="1" w:styleId="isdnetCP-texte">
    <w:name w:val="isdnetCP-texte"/>
    <w:autoRedefine/>
    <w:rsid w:val="00B244E5"/>
    <w:pPr>
      <w:jc w:val="both"/>
    </w:pPr>
    <w:rPr>
      <w:noProof/>
      <w:sz w:val="24"/>
    </w:rPr>
  </w:style>
  <w:style w:type="paragraph" w:styleId="Listepuces">
    <w:name w:val="List Bullet"/>
    <w:basedOn w:val="Corpsdetexte"/>
    <w:autoRedefine/>
    <w:rsid w:val="00B244E5"/>
    <w:pPr>
      <w:numPr>
        <w:numId w:val="3"/>
      </w:numPr>
      <w:spacing w:after="120" w:line="240" w:lineRule="atLeast"/>
      <w:ind w:left="357" w:hanging="357"/>
      <w:jc w:val="left"/>
    </w:pPr>
    <w:rPr>
      <w:rFonts w:ascii="Arial" w:hAnsi="Arial" w:cs="Arial"/>
      <w:i w:val="0"/>
      <w:snapToGrid/>
      <w:spacing w:val="-5"/>
    </w:rPr>
  </w:style>
  <w:style w:type="paragraph" w:styleId="Listepuces2">
    <w:name w:val="List Bullet 2"/>
    <w:basedOn w:val="Normal"/>
    <w:autoRedefine/>
    <w:rsid w:val="00B244E5"/>
    <w:pPr>
      <w:numPr>
        <w:numId w:val="4"/>
      </w:numPr>
      <w:tabs>
        <w:tab w:val="clear" w:pos="643"/>
        <w:tab w:val="num" w:pos="720"/>
      </w:tabs>
      <w:spacing w:after="60"/>
      <w:ind w:left="714" w:hanging="357"/>
      <w:jc w:val="left"/>
    </w:pPr>
    <w:rPr>
      <w:rFonts w:ascii="Arial" w:hAnsi="Arial"/>
      <w:spacing w:val="-10"/>
      <w:sz w:val="22"/>
    </w:rPr>
  </w:style>
  <w:style w:type="paragraph" w:customStyle="1" w:styleId="Corpsdetableau">
    <w:name w:val="Corps de tableau"/>
    <w:basedOn w:val="Corpsdetexte"/>
    <w:rsid w:val="00B244E5"/>
    <w:pPr>
      <w:spacing w:before="60" w:after="60" w:line="240" w:lineRule="atLeast"/>
      <w:jc w:val="left"/>
    </w:pPr>
    <w:rPr>
      <w:rFonts w:ascii="Arial" w:hAnsi="Arial" w:cs="Arial"/>
      <w:i w:val="0"/>
      <w:snapToGrid/>
      <w:spacing w:val="-5"/>
      <w:sz w:val="20"/>
    </w:rPr>
  </w:style>
  <w:style w:type="character" w:styleId="Lienhypertextesuivivisit">
    <w:name w:val="FollowedHyperlink"/>
    <w:basedOn w:val="Policepardfaut"/>
    <w:rsid w:val="00B244E5"/>
    <w:rPr>
      <w:color w:val="800080"/>
      <w:u w:val="single"/>
    </w:rPr>
  </w:style>
  <w:style w:type="paragraph" w:styleId="Listepuces3">
    <w:name w:val="List Bullet 3"/>
    <w:basedOn w:val="Normal"/>
    <w:autoRedefine/>
    <w:rsid w:val="00B244E5"/>
    <w:pPr>
      <w:numPr>
        <w:numId w:val="5"/>
      </w:numPr>
      <w:tabs>
        <w:tab w:val="clear" w:pos="360"/>
        <w:tab w:val="num" w:pos="284"/>
      </w:tabs>
      <w:ind w:left="284" w:hanging="284"/>
    </w:pPr>
  </w:style>
  <w:style w:type="paragraph" w:styleId="Textedebulles">
    <w:name w:val="Balloon Text"/>
    <w:basedOn w:val="Normal"/>
    <w:semiHidden/>
    <w:rsid w:val="00B244E5"/>
    <w:rPr>
      <w:rFonts w:ascii="Tahoma" w:hAnsi="Tahoma" w:cs="Tahoma"/>
      <w:szCs w:val="16"/>
    </w:rPr>
  </w:style>
  <w:style w:type="character" w:customStyle="1" w:styleId="DeltaViewInsertion">
    <w:name w:val="DeltaView Insertion"/>
    <w:rsid w:val="00B244E5"/>
    <w:rPr>
      <w:color w:val="0000FF"/>
      <w:spacing w:val="0"/>
      <w:u w:val="double"/>
    </w:rPr>
  </w:style>
  <w:style w:type="paragraph" w:customStyle="1" w:styleId="OmniPage1">
    <w:name w:val="OmniPage #1"/>
    <w:basedOn w:val="Normal"/>
    <w:rsid w:val="00B244E5"/>
    <w:pPr>
      <w:spacing w:line="180" w:lineRule="exact"/>
      <w:jc w:val="left"/>
    </w:pPr>
    <w:rPr>
      <w:sz w:val="20"/>
      <w:lang w:val="en-US" w:eastAsia="en-US"/>
    </w:rPr>
  </w:style>
  <w:style w:type="character" w:styleId="Marquedecommentaire">
    <w:name w:val="annotation reference"/>
    <w:basedOn w:val="Policepardfaut"/>
    <w:uiPriority w:val="99"/>
    <w:rsid w:val="00B244E5"/>
    <w:rPr>
      <w:sz w:val="16"/>
      <w:szCs w:val="16"/>
    </w:rPr>
  </w:style>
  <w:style w:type="paragraph" w:styleId="Objetducommentaire">
    <w:name w:val="annotation subject"/>
    <w:basedOn w:val="Commentaire"/>
    <w:next w:val="Commentaire"/>
    <w:semiHidden/>
    <w:rsid w:val="00B244E5"/>
    <w:pPr>
      <w:spacing w:line="240" w:lineRule="auto"/>
      <w:jc w:val="both"/>
    </w:pPr>
    <w:rPr>
      <w:b/>
      <w:bCs/>
      <w:sz w:val="20"/>
    </w:rPr>
  </w:style>
  <w:style w:type="character" w:styleId="lev">
    <w:name w:val="Strong"/>
    <w:basedOn w:val="Policepardfaut"/>
    <w:qFormat/>
    <w:rsid w:val="002F33CD"/>
    <w:rPr>
      <w:b/>
      <w:bCs/>
    </w:rPr>
  </w:style>
  <w:style w:type="table" w:styleId="Grilledutableau">
    <w:name w:val="Table Grid"/>
    <w:basedOn w:val="TableauNormal"/>
    <w:uiPriority w:val="59"/>
    <w:rsid w:val="00F25DA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F23744"/>
    <w:pPr>
      <w:ind w:left="720"/>
      <w:contextualSpacing/>
    </w:pPr>
  </w:style>
  <w:style w:type="character" w:customStyle="1" w:styleId="Titre1Car">
    <w:name w:val="Titre 1 Car"/>
    <w:basedOn w:val="Policepardfaut"/>
    <w:link w:val="Titre1"/>
    <w:rsid w:val="00F37D92"/>
    <w:rPr>
      <w:rFonts w:ascii="Arial" w:hAnsi="Arial" w:cs="Arial"/>
      <w:b/>
    </w:rPr>
  </w:style>
  <w:style w:type="paragraph" w:customStyle="1" w:styleId="StyleStyleTitre2">
    <w:name w:val="Style Style Titre 2"/>
    <w:basedOn w:val="Normal"/>
    <w:rsid w:val="00F37D92"/>
    <w:pPr>
      <w:keepNext/>
      <w:numPr>
        <w:ilvl w:val="1"/>
        <w:numId w:val="10"/>
      </w:numPr>
      <w:outlineLvl w:val="1"/>
    </w:pPr>
    <w:rPr>
      <w:rFonts w:ascii="Arial" w:hAnsi="Arial"/>
      <w:b/>
      <w:bCs/>
      <w:color w:val="0099FF"/>
      <w:sz w:val="18"/>
    </w:rPr>
  </w:style>
  <w:style w:type="character" w:customStyle="1" w:styleId="Titre2Car">
    <w:name w:val="Titre 2 Car"/>
    <w:aliases w:val="Überschrift 2 Anhang Car,Überschrift 2 Anhang1 Car,Überschrift 2 Anhang2 Car,Überschrift 2 Anhang11 Car,Überschrift 2 Anhang21 Car,Titre2 Car,heading 2 Car,H2 Car,h2 Car,2 Car,Header 2 Car,l2 Car,sh2 Car,1h Car,TitreProp Car,A Car,A.B.C. Car"/>
    <w:basedOn w:val="Policepardfaut"/>
    <w:link w:val="Titre2"/>
    <w:uiPriority w:val="99"/>
    <w:rsid w:val="00C87D1B"/>
    <w:rPr>
      <w:b/>
      <w:sz w:val="16"/>
      <w:u w:val="single"/>
    </w:rPr>
  </w:style>
  <w:style w:type="paragraph" w:styleId="Rvision">
    <w:name w:val="Revision"/>
    <w:hidden/>
    <w:uiPriority w:val="99"/>
    <w:semiHidden/>
    <w:rsid w:val="00B56E34"/>
    <w:rPr>
      <w:sz w:val="16"/>
    </w:rPr>
  </w:style>
  <w:style w:type="paragraph" w:customStyle="1" w:styleId="StyleTitre2">
    <w:name w:val="Style Titre 2"/>
    <w:basedOn w:val="Titre2"/>
    <w:rsid w:val="00090E98"/>
    <w:rPr>
      <w:bCs/>
      <w:color w:val="1E9BC3"/>
      <w:u w:val="none"/>
    </w:rPr>
  </w:style>
  <w:style w:type="paragraph" w:customStyle="1" w:styleId="StyleTitre1">
    <w:name w:val="Style Titre 1"/>
    <w:basedOn w:val="EmailStyle151"/>
    <w:rsid w:val="00393014"/>
    <w:rPr>
      <w:rFonts w:ascii="Times New Roman" w:hAnsi="Times New Roman"/>
      <w:bCs/>
      <w:color w:val="D77D28"/>
      <w:sz w:val="18"/>
      <w:u w:val="none"/>
    </w:rPr>
  </w:style>
  <w:style w:type="paragraph" w:customStyle="1" w:styleId="EmailStyle821">
    <w:name w:val="EmailStyle821"/>
    <w:basedOn w:val="Normal"/>
    <w:next w:val="Normal"/>
    <w:uiPriority w:val="99"/>
    <w:rsid w:val="00F435AD"/>
    <w:pPr>
      <w:tabs>
        <w:tab w:val="num" w:pos="360"/>
      </w:tabs>
      <w:spacing w:line="288" w:lineRule="auto"/>
      <w:outlineLvl w:val="0"/>
    </w:pPr>
    <w:rPr>
      <w:rFonts w:ascii="CG Times" w:hAnsi="CG Times" w:cs="CG Times"/>
      <w:b/>
      <w:bCs/>
      <w:caps/>
      <w:sz w:val="22"/>
      <w:szCs w:val="22"/>
      <w:u w:val="single"/>
    </w:rPr>
  </w:style>
  <w:style w:type="paragraph" w:customStyle="1" w:styleId="EmailStyle831">
    <w:name w:val="EmailStyle831"/>
    <w:basedOn w:val="Normal"/>
    <w:next w:val="Normal"/>
    <w:uiPriority w:val="99"/>
    <w:rsid w:val="00D03D67"/>
    <w:pPr>
      <w:tabs>
        <w:tab w:val="num" w:pos="360"/>
      </w:tabs>
      <w:spacing w:line="288" w:lineRule="auto"/>
      <w:ind w:left="360" w:hanging="360"/>
      <w:outlineLvl w:val="0"/>
    </w:pPr>
    <w:rPr>
      <w:rFonts w:ascii="CG Times" w:hAnsi="CG Times"/>
      <w:b/>
      <w:caps/>
      <w:sz w:val="22"/>
      <w:u w:val="single"/>
    </w:rPr>
  </w:style>
  <w:style w:type="paragraph" w:customStyle="1" w:styleId="Titre7h7">
    <w:name w:val="Titre 7.h7"/>
    <w:basedOn w:val="Normal"/>
    <w:next w:val="Normal"/>
    <w:uiPriority w:val="99"/>
    <w:rsid w:val="00121DC7"/>
    <w:pPr>
      <w:keepNext/>
      <w:numPr>
        <w:numId w:val="15"/>
      </w:numPr>
      <w:outlineLvl w:val="6"/>
    </w:pPr>
    <w:rPr>
      <w:b/>
      <w:bCs/>
      <w:szCs w:val="16"/>
    </w:rPr>
  </w:style>
  <w:style w:type="character" w:customStyle="1" w:styleId="PieddepageCar">
    <w:name w:val="Pied de page Car"/>
    <w:basedOn w:val="Policepardfaut"/>
    <w:link w:val="Pieddepage"/>
    <w:rsid w:val="00840305"/>
    <w:rPr>
      <w:sz w:val="16"/>
    </w:rPr>
  </w:style>
  <w:style w:type="paragraph" w:customStyle="1" w:styleId="StyleStyleTitre1">
    <w:name w:val="Style Style Titre 1"/>
    <w:basedOn w:val="Normal"/>
    <w:rsid w:val="00840305"/>
    <w:pPr>
      <w:keepNext/>
      <w:tabs>
        <w:tab w:val="num" w:pos="360"/>
        <w:tab w:val="right" w:pos="9072"/>
      </w:tabs>
      <w:jc w:val="left"/>
      <w:outlineLvl w:val="0"/>
    </w:pPr>
    <w:rPr>
      <w:rFonts w:ascii="Arial" w:hAnsi="Arial" w:cs="Arial"/>
      <w:b/>
      <w:bCs/>
      <w:color w:val="E36C0A" w:themeColor="accent6" w:themeShade="BF"/>
      <w:kern w:val="32"/>
      <w:sz w:val="20"/>
    </w:rPr>
  </w:style>
  <w:style w:type="paragraph" w:customStyle="1" w:styleId="Normal10">
    <w:name w:val="Normal1"/>
    <w:rsid w:val="00B26757"/>
    <w:pPr>
      <w:widowControl w:val="0"/>
      <w:jc w:val="both"/>
    </w:pPr>
    <w:rPr>
      <w:color w:val="000000"/>
      <w:sz w:val="16"/>
      <w:szCs w:val="16"/>
    </w:rPr>
  </w:style>
  <w:style w:type="character" w:styleId="Textedelespacerserv">
    <w:name w:val="Placeholder Text"/>
    <w:basedOn w:val="Policepardfaut"/>
    <w:uiPriority w:val="99"/>
    <w:semiHidden/>
    <w:rsid w:val="00DB3DD3"/>
    <w:rPr>
      <w:color w:val="808080"/>
    </w:rPr>
  </w:style>
  <w:style w:type="character" w:customStyle="1" w:styleId="CommentaireCar">
    <w:name w:val="Commentaire Car"/>
    <w:basedOn w:val="Policepardfaut"/>
    <w:link w:val="Commentaire"/>
    <w:uiPriority w:val="99"/>
    <w:rsid w:val="00347B76"/>
    <w:rPr>
      <w:sz w:val="16"/>
    </w:rPr>
  </w:style>
  <w:style w:type="paragraph" w:customStyle="1" w:styleId="Default">
    <w:name w:val="Default"/>
    <w:rsid w:val="00DA3105"/>
    <w:pPr>
      <w:autoSpaceDE w:val="0"/>
      <w:autoSpaceDN w:val="0"/>
      <w:adjustRightInd w:val="0"/>
    </w:pPr>
    <w:rPr>
      <w:rFonts w:ascii="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22807">
      <w:bodyDiv w:val="1"/>
      <w:marLeft w:val="0"/>
      <w:marRight w:val="0"/>
      <w:marTop w:val="0"/>
      <w:marBottom w:val="0"/>
      <w:divBdr>
        <w:top w:val="none" w:sz="0" w:space="0" w:color="auto"/>
        <w:left w:val="none" w:sz="0" w:space="0" w:color="auto"/>
        <w:bottom w:val="none" w:sz="0" w:space="0" w:color="auto"/>
        <w:right w:val="none" w:sz="0" w:space="0" w:color="auto"/>
      </w:divBdr>
    </w:div>
    <w:div w:id="329604614">
      <w:bodyDiv w:val="1"/>
      <w:marLeft w:val="0"/>
      <w:marRight w:val="0"/>
      <w:marTop w:val="0"/>
      <w:marBottom w:val="0"/>
      <w:divBdr>
        <w:top w:val="none" w:sz="0" w:space="0" w:color="auto"/>
        <w:left w:val="none" w:sz="0" w:space="0" w:color="auto"/>
        <w:bottom w:val="none" w:sz="0" w:space="0" w:color="auto"/>
        <w:right w:val="none" w:sz="0" w:space="0" w:color="auto"/>
      </w:divBdr>
    </w:div>
    <w:div w:id="505483627">
      <w:bodyDiv w:val="1"/>
      <w:marLeft w:val="0"/>
      <w:marRight w:val="0"/>
      <w:marTop w:val="0"/>
      <w:marBottom w:val="0"/>
      <w:divBdr>
        <w:top w:val="none" w:sz="0" w:space="0" w:color="auto"/>
        <w:left w:val="none" w:sz="0" w:space="0" w:color="auto"/>
        <w:bottom w:val="none" w:sz="0" w:space="0" w:color="auto"/>
        <w:right w:val="none" w:sz="0" w:space="0" w:color="auto"/>
      </w:divBdr>
    </w:div>
    <w:div w:id="879242336">
      <w:bodyDiv w:val="1"/>
      <w:marLeft w:val="0"/>
      <w:marRight w:val="0"/>
      <w:marTop w:val="0"/>
      <w:marBottom w:val="0"/>
      <w:divBdr>
        <w:top w:val="none" w:sz="0" w:space="0" w:color="auto"/>
        <w:left w:val="none" w:sz="0" w:space="0" w:color="auto"/>
        <w:bottom w:val="none" w:sz="0" w:space="0" w:color="auto"/>
        <w:right w:val="none" w:sz="0" w:space="0" w:color="auto"/>
      </w:divBdr>
    </w:div>
    <w:div w:id="951783022">
      <w:bodyDiv w:val="1"/>
      <w:marLeft w:val="0"/>
      <w:marRight w:val="0"/>
      <w:marTop w:val="0"/>
      <w:marBottom w:val="0"/>
      <w:divBdr>
        <w:top w:val="none" w:sz="0" w:space="0" w:color="auto"/>
        <w:left w:val="none" w:sz="0" w:space="0" w:color="auto"/>
        <w:bottom w:val="none" w:sz="0" w:space="0" w:color="auto"/>
        <w:right w:val="none" w:sz="0" w:space="0" w:color="auto"/>
      </w:divBdr>
    </w:div>
    <w:div w:id="1195843645">
      <w:bodyDiv w:val="1"/>
      <w:marLeft w:val="0"/>
      <w:marRight w:val="0"/>
      <w:marTop w:val="0"/>
      <w:marBottom w:val="0"/>
      <w:divBdr>
        <w:top w:val="none" w:sz="0" w:space="0" w:color="auto"/>
        <w:left w:val="none" w:sz="0" w:space="0" w:color="auto"/>
        <w:bottom w:val="none" w:sz="0" w:space="0" w:color="auto"/>
        <w:right w:val="none" w:sz="0" w:space="0" w:color="auto"/>
      </w:divBdr>
    </w:div>
    <w:div w:id="1327246567">
      <w:bodyDiv w:val="1"/>
      <w:marLeft w:val="0"/>
      <w:marRight w:val="0"/>
      <w:marTop w:val="0"/>
      <w:marBottom w:val="0"/>
      <w:divBdr>
        <w:top w:val="none" w:sz="0" w:space="0" w:color="auto"/>
        <w:left w:val="none" w:sz="0" w:space="0" w:color="auto"/>
        <w:bottom w:val="none" w:sz="0" w:space="0" w:color="auto"/>
        <w:right w:val="none" w:sz="0" w:space="0" w:color="auto"/>
      </w:divBdr>
    </w:div>
    <w:div w:id="1661959230">
      <w:bodyDiv w:val="1"/>
      <w:marLeft w:val="0"/>
      <w:marRight w:val="0"/>
      <w:marTop w:val="0"/>
      <w:marBottom w:val="0"/>
      <w:divBdr>
        <w:top w:val="none" w:sz="0" w:space="0" w:color="auto"/>
        <w:left w:val="none" w:sz="0" w:space="0" w:color="auto"/>
        <w:bottom w:val="none" w:sz="0" w:space="0" w:color="auto"/>
        <w:right w:val="none" w:sz="0" w:space="0" w:color="auto"/>
      </w:divBdr>
    </w:div>
    <w:div w:id="1782996753">
      <w:bodyDiv w:val="1"/>
      <w:marLeft w:val="0"/>
      <w:marRight w:val="0"/>
      <w:marTop w:val="0"/>
      <w:marBottom w:val="0"/>
      <w:divBdr>
        <w:top w:val="none" w:sz="0" w:space="0" w:color="auto"/>
        <w:left w:val="none" w:sz="0" w:space="0" w:color="auto"/>
        <w:bottom w:val="none" w:sz="0" w:space="0" w:color="auto"/>
        <w:right w:val="none" w:sz="0" w:space="0" w:color="auto"/>
      </w:divBdr>
    </w:div>
    <w:div w:id="1798833154">
      <w:bodyDiv w:val="1"/>
      <w:marLeft w:val="0"/>
      <w:marRight w:val="0"/>
      <w:marTop w:val="0"/>
      <w:marBottom w:val="0"/>
      <w:divBdr>
        <w:top w:val="none" w:sz="0" w:space="0" w:color="auto"/>
        <w:left w:val="none" w:sz="0" w:space="0" w:color="auto"/>
        <w:bottom w:val="none" w:sz="0" w:space="0" w:color="auto"/>
        <w:right w:val="none" w:sz="0" w:space="0" w:color="auto"/>
      </w:divBdr>
    </w:div>
    <w:div w:id="2066366863">
      <w:bodyDiv w:val="1"/>
      <w:marLeft w:val="0"/>
      <w:marRight w:val="0"/>
      <w:marTop w:val="0"/>
      <w:marBottom w:val="0"/>
      <w:divBdr>
        <w:top w:val="none" w:sz="0" w:space="0" w:color="auto"/>
        <w:left w:val="none" w:sz="0" w:space="0" w:color="auto"/>
        <w:bottom w:val="none" w:sz="0" w:space="0" w:color="auto"/>
        <w:right w:val="none" w:sz="0" w:space="0" w:color="auto"/>
      </w:divBdr>
    </w:div>
    <w:div w:id="212226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A10DE7-BECB-4E46-B043-358997D87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8923</Words>
  <Characters>49080</Characters>
  <Application>Microsoft Office Word</Application>
  <DocSecurity>0</DocSecurity>
  <Lines>409</Lines>
  <Paragraphs>115</Paragraphs>
  <ScaleCrop>false</ScaleCrop>
  <HeadingPairs>
    <vt:vector size="2" baseType="variant">
      <vt:variant>
        <vt:lpstr>Titre</vt:lpstr>
      </vt:variant>
      <vt:variant>
        <vt:i4>1</vt:i4>
      </vt:variant>
    </vt:vector>
  </HeadingPairs>
  <TitlesOfParts>
    <vt:vector size="1" baseType="lpstr">
      <vt:lpstr>CHEF DE PRODUIT</vt:lpstr>
    </vt:vector>
  </TitlesOfParts>
  <Company>Axione</Company>
  <LinksUpToDate>false</LinksUpToDate>
  <CharactersWithSpaces>57888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CHEF DE PRODUIT</dc:title>
  <dc:creator>Houda Khammari</dc:creator>
  <cp:lastModifiedBy>THOME, Hombeline</cp:lastModifiedBy>
  <cp:revision>3</cp:revision>
  <cp:lastPrinted>2019-09-12T08:58:00Z</cp:lastPrinted>
  <dcterms:created xsi:type="dcterms:W3CDTF">2020-05-15T14:04:00Z</dcterms:created>
  <dcterms:modified xsi:type="dcterms:W3CDTF">2020-05-18T07:59:00Z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ies>
</file>